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AB7E4B" w:rsidRDefault="006E43CA" w:rsidP="00B457A7">
      <w:pPr>
        <w:spacing w:after="120"/>
        <w:jc w:val="center"/>
        <w:rPr>
          <w:rFonts w:ascii="PT Astra Serif" w:hAnsi="PT Astra Serif"/>
        </w:rPr>
      </w:pPr>
      <w:r w:rsidRPr="00AB7E4B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2764790</wp:posOffset>
            </wp:positionH>
            <wp:positionV relativeFrom="paragraph">
              <wp:posOffset>-348615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1D52" w:rsidRDefault="001E1D52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AB7E4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B7E4B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AB7E4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B7E4B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AB7E4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B7E4B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AB7E4B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AB7E4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AB7E4B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AB7E4B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AB7E4B" w:rsidTr="006D4D30">
        <w:tc>
          <w:tcPr>
            <w:tcW w:w="4395" w:type="dxa"/>
            <w:vAlign w:val="center"/>
            <w:hideMark/>
          </w:tcPr>
          <w:p w:rsidR="00AC4A10" w:rsidRPr="00AB7E4B" w:rsidRDefault="00FD6279" w:rsidP="00FD6279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 февраля</w:t>
            </w:r>
            <w:r w:rsidR="00AC4A10" w:rsidRPr="00AB7E4B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AC4A10" w:rsidRPr="00AB7E4B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AB7E4B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AB7E4B" w:rsidRDefault="00AC4A10" w:rsidP="00FD6279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B7E4B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FD6279">
              <w:rPr>
                <w:rFonts w:ascii="PT Astra Serif" w:hAnsi="PT Astra Serif"/>
                <w:sz w:val="26"/>
                <w:szCs w:val="26"/>
              </w:rPr>
              <w:t>1</w:t>
            </w:r>
            <w:r w:rsidRPr="00AB7E4B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AB7E4B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AB7E4B" w:rsidRDefault="00AB7E4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B7E4B">
        <w:rPr>
          <w:rFonts w:ascii="PT Astra Serif" w:hAnsi="PT Astra Serif" w:cs="Times New Roman"/>
          <w:b w:val="0"/>
          <w:sz w:val="26"/>
          <w:szCs w:val="26"/>
        </w:rPr>
        <w:t>О внесении изменения в приказ Департамента профессионального образования Томской области от 16.11.2015 №21п</w:t>
      </w:r>
    </w:p>
    <w:p w:rsidR="006E43CA" w:rsidRPr="00AB7E4B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AB7E4B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B7E4B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AB7E4B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AB7E4B">
        <w:rPr>
          <w:rFonts w:ascii="PT Astra Serif" w:hAnsi="PT Astra Serif"/>
          <w:sz w:val="26"/>
          <w:szCs w:val="26"/>
        </w:rPr>
        <w:t>ПРИКАЗЫВАЮ:</w:t>
      </w:r>
    </w:p>
    <w:p w:rsidR="00392306" w:rsidRPr="00AB7E4B" w:rsidRDefault="00392306" w:rsidP="00AB7E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B7E4B">
        <w:rPr>
          <w:rFonts w:ascii="PT Astra Serif" w:hAnsi="PT Astra Serif" w:cs="Times New Roman"/>
          <w:sz w:val="26"/>
          <w:szCs w:val="26"/>
        </w:rPr>
        <w:t>1. </w:t>
      </w:r>
      <w:r w:rsidR="00AB7E4B" w:rsidRPr="00AB7E4B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16.11.2015 № 21п «Об утверждении Порядка определения базовых нормативов затрат на оказание государственных услуг и Порядка определения затрат на выполнение работ областными государственными учреждениями, в отношении которых Департамент профессионального образования Томской области осуществляет функции и полномочия учредителя» (Официальный интернет-портал «Электронная Администрация Томской области» http://www.tomsk.gov.ru, 16.11.2015)</w:t>
      </w:r>
      <w:r w:rsidRPr="00AB7E4B">
        <w:rPr>
          <w:rFonts w:ascii="PT Astra Serif" w:hAnsi="PT Astra Serif" w:cs="Times New Roman"/>
          <w:sz w:val="26"/>
          <w:szCs w:val="26"/>
        </w:rPr>
        <w:t xml:space="preserve"> изменени</w:t>
      </w:r>
      <w:r w:rsidR="00AB7E4B" w:rsidRPr="00AB7E4B">
        <w:rPr>
          <w:rFonts w:ascii="PT Astra Serif" w:hAnsi="PT Astra Serif" w:cs="Times New Roman"/>
          <w:sz w:val="26"/>
          <w:szCs w:val="26"/>
        </w:rPr>
        <w:t xml:space="preserve">е, </w:t>
      </w:r>
      <w:r w:rsidR="00AB7E4B" w:rsidRPr="00AB7E4B">
        <w:rPr>
          <w:rFonts w:ascii="PT Astra Serif" w:hAnsi="PT Astra Serif"/>
          <w:sz w:val="26"/>
          <w:szCs w:val="26"/>
        </w:rPr>
        <w:t xml:space="preserve">изложив </w:t>
      </w:r>
      <w:r w:rsidR="00115F70" w:rsidRPr="00AB7E4B">
        <w:rPr>
          <w:rFonts w:ascii="PT Astra Serif" w:hAnsi="PT Astra Serif"/>
          <w:sz w:val="26"/>
          <w:szCs w:val="26"/>
        </w:rPr>
        <w:t>приложение № 2</w:t>
      </w:r>
      <w:r w:rsidR="00115F70">
        <w:rPr>
          <w:rFonts w:ascii="PT Astra Serif" w:hAnsi="PT Astra Serif"/>
          <w:sz w:val="26"/>
          <w:szCs w:val="26"/>
        </w:rPr>
        <w:t xml:space="preserve"> «</w:t>
      </w:r>
      <w:r w:rsidR="00AB7E4B" w:rsidRPr="00AB7E4B">
        <w:rPr>
          <w:rFonts w:ascii="PT Astra Serif" w:hAnsi="PT Astra Serif"/>
          <w:sz w:val="26"/>
          <w:szCs w:val="26"/>
        </w:rPr>
        <w:t>Применение корректирующих отраслевых коэффициентов для областных государственных учреждений, в отношении которых Департамент профессионального образования Томской области осуществляет функции и полномочия учредителя</w:t>
      </w:r>
      <w:r w:rsidR="00115F70">
        <w:rPr>
          <w:rFonts w:ascii="PT Astra Serif" w:hAnsi="PT Astra Serif"/>
          <w:sz w:val="26"/>
          <w:szCs w:val="26"/>
        </w:rPr>
        <w:t xml:space="preserve">» </w:t>
      </w:r>
      <w:r w:rsidR="00AB7E4B" w:rsidRPr="00AB7E4B">
        <w:rPr>
          <w:rFonts w:ascii="PT Astra Serif" w:hAnsi="PT Astra Serif"/>
          <w:sz w:val="26"/>
          <w:szCs w:val="26"/>
        </w:rPr>
        <w:t>к Порядку определения базовых нормативов затрат на оказание государственных услуг областными государственными учреждениями, в отношении которых Департамент профессионального образования Томской области осуществляет функции и полномочия учредителя,</w:t>
      </w:r>
      <w:r w:rsidR="00951A7D">
        <w:rPr>
          <w:rFonts w:ascii="PT Astra Serif" w:hAnsi="PT Astra Serif"/>
          <w:sz w:val="26"/>
          <w:szCs w:val="26"/>
        </w:rPr>
        <w:t xml:space="preserve"> утвержденному указанным приказом,</w:t>
      </w:r>
      <w:r w:rsidR="00AB7E4B" w:rsidRPr="00AB7E4B">
        <w:rPr>
          <w:rFonts w:ascii="PT Astra Serif" w:hAnsi="PT Astra Serif"/>
          <w:sz w:val="26"/>
          <w:szCs w:val="26"/>
        </w:rPr>
        <w:t xml:space="preserve"> в новой редакции согласно приложению к настоящему приказу.</w:t>
      </w:r>
    </w:p>
    <w:p w:rsidR="00AB7E4B" w:rsidRPr="00AB7E4B" w:rsidRDefault="00AB7E4B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B7E4B">
        <w:rPr>
          <w:rFonts w:ascii="PT Astra Serif" w:hAnsi="PT Astra Serif"/>
          <w:sz w:val="26"/>
          <w:szCs w:val="26"/>
        </w:rPr>
        <w:t>2. Положения настоящего приказа применяются к правоотношениям, возникающим при расчете объема финансового обеспечения выполнения государственного задания, начиная с государственного задания на 2022 год и на плановый период 2023 и 2024 годов.</w:t>
      </w:r>
    </w:p>
    <w:p w:rsidR="00392306" w:rsidRPr="00AB7E4B" w:rsidRDefault="00AB7E4B" w:rsidP="00E00DB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B7E4B">
        <w:rPr>
          <w:rFonts w:ascii="PT Astra Serif" w:hAnsi="PT Astra Serif"/>
          <w:sz w:val="26"/>
          <w:szCs w:val="26"/>
        </w:rPr>
        <w:t>3</w:t>
      </w:r>
      <w:r w:rsidR="00392306" w:rsidRPr="00AB7E4B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83166B" w:rsidRPr="00AB7E4B">
        <w:rPr>
          <w:rFonts w:ascii="PT Astra Serif" w:hAnsi="PT Astra Serif"/>
          <w:sz w:val="26"/>
          <w:szCs w:val="26"/>
        </w:rPr>
        <w:t>со</w:t>
      </w:r>
      <w:r w:rsidR="00392306" w:rsidRPr="00AB7E4B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267EFA" w:rsidRPr="00AB7E4B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E12A6" w:rsidRPr="00AB7E4B" w:rsidRDefault="00AE12A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E12A6" w:rsidRPr="00AB7E4B" w:rsidRDefault="00AE12A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AB7E4B" w:rsidTr="00AC3C6F">
        <w:tc>
          <w:tcPr>
            <w:tcW w:w="4253" w:type="dxa"/>
            <w:vAlign w:val="center"/>
            <w:hideMark/>
          </w:tcPr>
          <w:p w:rsidR="00AC3C6F" w:rsidRPr="00AB7E4B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AB7E4B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AB7E4B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AB7E4B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B7E4B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B7E4B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B7E4B" w:rsidRPr="00AB7E4B" w:rsidRDefault="00AB7E4B" w:rsidP="00AB7E4B">
      <w:pPr>
        <w:pStyle w:val="ConsPlusNormal"/>
        <w:ind w:firstLine="0"/>
        <w:outlineLvl w:val="0"/>
        <w:rPr>
          <w:rFonts w:ascii="PT Astra Serif" w:hAnsi="PT Astra Serif" w:cs="Times New Roman"/>
          <w:sz w:val="26"/>
          <w:szCs w:val="26"/>
        </w:rPr>
        <w:sectPr w:rsidR="00AB7E4B" w:rsidRPr="00AB7E4B" w:rsidSect="001E1D52">
          <w:headerReference w:type="default" r:id="rId10"/>
          <w:footnotePr>
            <w:pos w:val="beneathText"/>
          </w:footnotePr>
          <w:pgSz w:w="11905" w:h="16838"/>
          <w:pgMar w:top="1134" w:right="851" w:bottom="1134" w:left="1134" w:header="454" w:footer="0" w:gutter="0"/>
          <w:cols w:space="720"/>
          <w:noEndnote/>
          <w:titlePg/>
          <w:docGrid w:linePitch="326"/>
        </w:sectPr>
      </w:pPr>
    </w:p>
    <w:p w:rsidR="00AB7E4B" w:rsidRPr="00AB7E4B" w:rsidRDefault="00AB7E4B" w:rsidP="00AB7E4B">
      <w:pPr>
        <w:pStyle w:val="ConsPlusNormal"/>
        <w:ind w:left="9214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B7E4B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AB7E4B" w:rsidRPr="00AB7E4B" w:rsidRDefault="00AB7E4B" w:rsidP="00AB7E4B">
      <w:pPr>
        <w:pStyle w:val="ConsPlusNormal"/>
        <w:ind w:left="9214" w:firstLine="0"/>
        <w:rPr>
          <w:rFonts w:ascii="PT Astra Serif" w:hAnsi="PT Astra Serif" w:cs="Times New Roman"/>
          <w:sz w:val="26"/>
          <w:szCs w:val="26"/>
        </w:rPr>
      </w:pPr>
      <w:r w:rsidRPr="00AB7E4B">
        <w:rPr>
          <w:rFonts w:ascii="PT Astra Serif" w:hAnsi="PT Astra Serif" w:cs="Times New Roman"/>
          <w:sz w:val="26"/>
          <w:szCs w:val="26"/>
        </w:rPr>
        <w:t xml:space="preserve">к приказу Департамента </w:t>
      </w:r>
    </w:p>
    <w:p w:rsidR="00AB7E4B" w:rsidRPr="00AB7E4B" w:rsidRDefault="00AB7E4B" w:rsidP="00AB7E4B">
      <w:pPr>
        <w:pStyle w:val="ConsPlusNormal"/>
        <w:ind w:left="9214" w:firstLine="0"/>
        <w:rPr>
          <w:rFonts w:ascii="PT Astra Serif" w:hAnsi="PT Astra Serif" w:cs="Times New Roman"/>
          <w:sz w:val="26"/>
          <w:szCs w:val="26"/>
        </w:rPr>
      </w:pPr>
      <w:r w:rsidRPr="00AB7E4B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AB7E4B" w:rsidRPr="00AB7E4B" w:rsidRDefault="00AB7E4B" w:rsidP="00AB7E4B">
      <w:pPr>
        <w:pStyle w:val="ConsPlusNormal"/>
        <w:ind w:left="9214" w:firstLine="0"/>
        <w:rPr>
          <w:rFonts w:ascii="PT Astra Serif" w:hAnsi="PT Astra Serif" w:cs="Times New Roman"/>
          <w:sz w:val="26"/>
          <w:szCs w:val="26"/>
        </w:rPr>
      </w:pPr>
      <w:r w:rsidRPr="00AB7E4B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AB7E4B" w:rsidRPr="00AB7E4B" w:rsidRDefault="00AB7E4B" w:rsidP="00AB7E4B">
      <w:pPr>
        <w:pStyle w:val="ConsPlusNormal"/>
        <w:ind w:left="9214" w:firstLine="0"/>
        <w:rPr>
          <w:rFonts w:ascii="PT Astra Serif" w:hAnsi="PT Astra Serif" w:cs="Times New Roman"/>
          <w:sz w:val="26"/>
          <w:szCs w:val="26"/>
        </w:rPr>
      </w:pPr>
      <w:r w:rsidRPr="00AB7E4B">
        <w:rPr>
          <w:rFonts w:ascii="PT Astra Serif" w:hAnsi="PT Astra Serif" w:cs="Times New Roman"/>
          <w:sz w:val="26"/>
          <w:szCs w:val="26"/>
        </w:rPr>
        <w:t xml:space="preserve">от </w:t>
      </w:r>
      <w:r w:rsidR="00FD6279">
        <w:rPr>
          <w:rFonts w:ascii="PT Astra Serif" w:hAnsi="PT Astra Serif" w:cs="Times New Roman"/>
          <w:sz w:val="26"/>
          <w:szCs w:val="26"/>
        </w:rPr>
        <w:t>07.02</w:t>
      </w:r>
      <w:r w:rsidRPr="00AB7E4B">
        <w:rPr>
          <w:rFonts w:ascii="PT Astra Serif" w:hAnsi="PT Astra Serif" w:cs="Times New Roman"/>
          <w:sz w:val="26"/>
          <w:szCs w:val="26"/>
        </w:rPr>
        <w:t>.20</w:t>
      </w:r>
      <w:r>
        <w:rPr>
          <w:rFonts w:ascii="PT Astra Serif" w:hAnsi="PT Astra Serif" w:cs="Times New Roman"/>
          <w:sz w:val="26"/>
          <w:szCs w:val="26"/>
        </w:rPr>
        <w:t>2</w:t>
      </w:r>
      <w:r w:rsidR="00951A7D">
        <w:rPr>
          <w:rFonts w:ascii="PT Astra Serif" w:hAnsi="PT Astra Serif" w:cs="Times New Roman"/>
          <w:sz w:val="26"/>
          <w:szCs w:val="26"/>
        </w:rPr>
        <w:t>2</w:t>
      </w:r>
      <w:r w:rsidRPr="00AB7E4B">
        <w:rPr>
          <w:rFonts w:ascii="PT Astra Serif" w:hAnsi="PT Astra Serif" w:cs="Times New Roman"/>
          <w:sz w:val="26"/>
          <w:szCs w:val="26"/>
        </w:rPr>
        <w:t xml:space="preserve"> № </w:t>
      </w:r>
      <w:r w:rsidR="00FD6279">
        <w:rPr>
          <w:rFonts w:ascii="PT Astra Serif" w:hAnsi="PT Astra Serif" w:cs="Times New Roman"/>
          <w:sz w:val="26"/>
          <w:szCs w:val="26"/>
        </w:rPr>
        <w:t>1п</w:t>
      </w:r>
    </w:p>
    <w:p w:rsidR="00AB7E4B" w:rsidRPr="00AB7E4B" w:rsidRDefault="00AB7E4B" w:rsidP="00AB7E4B">
      <w:pPr>
        <w:pStyle w:val="ConsPlusNormal"/>
        <w:ind w:left="9214" w:firstLine="0"/>
        <w:rPr>
          <w:rFonts w:ascii="PT Astra Serif" w:hAnsi="PT Astra Serif" w:cs="Times New Roman"/>
          <w:sz w:val="26"/>
          <w:szCs w:val="26"/>
        </w:rPr>
      </w:pPr>
    </w:p>
    <w:p w:rsidR="00AB7E4B" w:rsidRDefault="00AB7E4B" w:rsidP="00FD6279">
      <w:pPr>
        <w:pStyle w:val="ConsPlusNormal"/>
        <w:ind w:left="9214" w:firstLine="0"/>
        <w:jc w:val="both"/>
        <w:rPr>
          <w:rFonts w:ascii="PT Astra Serif" w:hAnsi="PT Astra Serif" w:cs="Times New Roman"/>
          <w:sz w:val="26"/>
          <w:szCs w:val="26"/>
        </w:rPr>
      </w:pPr>
      <w:r w:rsidRPr="00AB7E4B">
        <w:rPr>
          <w:rFonts w:ascii="PT Astra Serif" w:hAnsi="PT Astra Serif" w:cs="Times New Roman"/>
          <w:sz w:val="26"/>
          <w:szCs w:val="26"/>
        </w:rPr>
        <w:t>Приложение № 2 к Порядку определения базовых нормативов за</w:t>
      </w:r>
      <w:bookmarkStart w:id="0" w:name="_GoBack"/>
      <w:bookmarkEnd w:id="0"/>
      <w:r w:rsidRPr="00AB7E4B">
        <w:rPr>
          <w:rFonts w:ascii="PT Astra Serif" w:hAnsi="PT Astra Serif" w:cs="Times New Roman"/>
          <w:sz w:val="26"/>
          <w:szCs w:val="26"/>
        </w:rPr>
        <w:t>трат на оказание государственных услуг областными государственными учреждениями, в отношении которых Департамент профессионального образования Томской области осуществляет функции и полномочия учредителя</w:t>
      </w:r>
    </w:p>
    <w:p w:rsidR="00AB7E4B" w:rsidRDefault="00AB7E4B" w:rsidP="00AB7E4B">
      <w:pPr>
        <w:pStyle w:val="ConsPlusNormal"/>
        <w:ind w:left="9214" w:firstLine="0"/>
        <w:rPr>
          <w:rFonts w:ascii="PT Astra Serif" w:hAnsi="PT Astra Serif" w:cs="Times New Roman"/>
          <w:sz w:val="26"/>
          <w:szCs w:val="26"/>
        </w:rPr>
      </w:pPr>
    </w:p>
    <w:p w:rsidR="00AB7E4B" w:rsidRPr="00AB7E4B" w:rsidRDefault="00AB7E4B" w:rsidP="00AB7E4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B7E4B">
        <w:rPr>
          <w:rFonts w:ascii="PT Astra Serif" w:hAnsi="PT Astra Serif" w:cs="Times New Roman"/>
          <w:b w:val="0"/>
          <w:sz w:val="26"/>
          <w:szCs w:val="26"/>
        </w:rPr>
        <w:t>Применение корректирующих отраслевых коэффициентов для областных государственных учреждений, в отношении</w:t>
      </w:r>
    </w:p>
    <w:p w:rsidR="00AB7E4B" w:rsidRPr="00AB7E4B" w:rsidRDefault="00AB7E4B" w:rsidP="00AB7E4B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  <w:r w:rsidRPr="00AB7E4B">
        <w:rPr>
          <w:rFonts w:ascii="PT Astra Serif" w:hAnsi="PT Astra Serif" w:cs="Times New Roman"/>
          <w:b w:val="0"/>
          <w:sz w:val="26"/>
          <w:szCs w:val="26"/>
        </w:rPr>
        <w:t>которых Департамент профессионального образования Томской области осуществляет функции и полномочия учредителя</w:t>
      </w:r>
    </w:p>
    <w:p w:rsidR="00AB7E4B" w:rsidRPr="00AB7E4B" w:rsidRDefault="00AB7E4B" w:rsidP="00AB7E4B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1985"/>
        <w:gridCol w:w="2265"/>
        <w:gridCol w:w="1278"/>
        <w:gridCol w:w="3686"/>
        <w:gridCol w:w="1242"/>
      </w:tblGrid>
      <w:tr w:rsidR="00AB7E4B" w:rsidRPr="00AB7E4B" w:rsidTr="00DC448B">
        <w:trPr>
          <w:trHeight w:val="20"/>
          <w:tblHeader/>
        </w:trPr>
        <w:tc>
          <w:tcPr>
            <w:tcW w:w="4106" w:type="dxa"/>
            <w:vMerge w:val="restart"/>
            <w:vAlign w:val="center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Отраслевые корректирующие коэффициенты</w:t>
            </w:r>
          </w:p>
        </w:tc>
        <w:tc>
          <w:tcPr>
            <w:tcW w:w="10456" w:type="dxa"/>
            <w:gridSpan w:val="5"/>
            <w:vAlign w:val="center"/>
          </w:tcPr>
          <w:p w:rsidR="00AB7E4B" w:rsidRPr="00AB7E4B" w:rsidRDefault="006A6221" w:rsidP="006A62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 xml:space="preserve">Затраты, входящие в базовый норматив затрат на оказание государственной услуги </w:t>
            </w:r>
          </w:p>
        </w:tc>
      </w:tr>
      <w:tr w:rsidR="006A6221" w:rsidRPr="00AB7E4B" w:rsidTr="00DC448B">
        <w:trPr>
          <w:trHeight w:val="20"/>
          <w:tblHeader/>
        </w:trPr>
        <w:tc>
          <w:tcPr>
            <w:tcW w:w="4106" w:type="dxa"/>
            <w:vMerge/>
            <w:vAlign w:val="center"/>
          </w:tcPr>
          <w:p w:rsidR="00AB7E4B" w:rsidRPr="00AB7E4B" w:rsidRDefault="00AB7E4B" w:rsidP="009B3DC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AB7E4B" w:rsidRPr="00AB7E4B" w:rsidRDefault="006A6221" w:rsidP="006A62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 xml:space="preserve">Затраты на оплату труда с начислениями на выплаты по оплате труда работников, непосредственно связанных с оказанием государственной услуги </w:t>
            </w:r>
          </w:p>
        </w:tc>
        <w:tc>
          <w:tcPr>
            <w:tcW w:w="2265" w:type="dxa"/>
            <w:vAlign w:val="center"/>
          </w:tcPr>
          <w:p w:rsidR="00AB7E4B" w:rsidRPr="00AB7E4B" w:rsidRDefault="006A6221" w:rsidP="006A62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Затраты на оплату труда, в том числе начисления на выплаты по оплате труда работников, которые не принимают непосредственного участия в оказании государственных услуг</w:t>
            </w:r>
          </w:p>
        </w:tc>
        <w:tc>
          <w:tcPr>
            <w:tcW w:w="1278" w:type="dxa"/>
            <w:vAlign w:val="center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Затраты на коммунальные услуги</w:t>
            </w:r>
          </w:p>
        </w:tc>
        <w:tc>
          <w:tcPr>
            <w:tcW w:w="3686" w:type="dxa"/>
            <w:vAlign w:val="center"/>
          </w:tcPr>
          <w:p w:rsidR="00AB7E4B" w:rsidRPr="00AB7E4B" w:rsidRDefault="006A6221" w:rsidP="006A62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</w:t>
            </w:r>
            <w:r w:rsidRPr="006A6221">
              <w:rPr>
                <w:rFonts w:ascii="PT Astra Serif" w:hAnsi="PT Astra Serif" w:cs="Times New Roman"/>
              </w:rPr>
              <w:t>атраты на приобретение материальных запасов и на приобретение движимого имущества (основных средств и нематериальных активов), не отнесенного к особо ценному движимому имуществу и используемого в процессе оказания государственной услуги, с учетом срока его полезного использования, а также затраты на аренду указанного имущества</w:t>
            </w:r>
          </w:p>
        </w:tc>
        <w:tc>
          <w:tcPr>
            <w:tcW w:w="1242" w:type="dxa"/>
            <w:vAlign w:val="center"/>
          </w:tcPr>
          <w:p w:rsidR="00AB7E4B" w:rsidRPr="00AB7E4B" w:rsidRDefault="006A6221" w:rsidP="006A62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Прочие затраты</w:t>
            </w:r>
          </w:p>
        </w:tc>
      </w:tr>
    </w:tbl>
    <w:p w:rsidR="00951A7D" w:rsidRPr="00951A7D" w:rsidRDefault="00951A7D" w:rsidP="002D2AE9">
      <w:pPr>
        <w:spacing w:line="14" w:lineRule="auto"/>
        <w:contextualSpacing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1985"/>
        <w:gridCol w:w="2265"/>
        <w:gridCol w:w="1278"/>
        <w:gridCol w:w="3686"/>
        <w:gridCol w:w="1242"/>
      </w:tblGrid>
      <w:tr w:rsidR="006A6221" w:rsidRPr="00AB7E4B" w:rsidTr="00FD6279">
        <w:trPr>
          <w:trHeight w:val="20"/>
        </w:trPr>
        <w:tc>
          <w:tcPr>
            <w:tcW w:w="4106" w:type="dxa"/>
            <w:vAlign w:val="center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6"/>
              </w:rPr>
            </w:pPr>
            <w:r w:rsidRPr="00AB7E4B">
              <w:rPr>
                <w:rFonts w:ascii="PT Astra Serif" w:hAnsi="PT Astra Serif" w:cs="Times New Roman"/>
                <w:sz w:val="16"/>
              </w:rPr>
              <w:t>1</w:t>
            </w:r>
          </w:p>
        </w:tc>
        <w:tc>
          <w:tcPr>
            <w:tcW w:w="1985" w:type="dxa"/>
            <w:vAlign w:val="center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6"/>
              </w:rPr>
            </w:pPr>
            <w:r w:rsidRPr="00AB7E4B">
              <w:rPr>
                <w:rFonts w:ascii="PT Astra Serif" w:hAnsi="PT Astra Serif" w:cs="Times New Roman"/>
                <w:sz w:val="16"/>
              </w:rPr>
              <w:t>2</w:t>
            </w:r>
          </w:p>
        </w:tc>
        <w:tc>
          <w:tcPr>
            <w:tcW w:w="2265" w:type="dxa"/>
            <w:vAlign w:val="center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6"/>
              </w:rPr>
            </w:pPr>
            <w:r w:rsidRPr="00AB7E4B">
              <w:rPr>
                <w:rFonts w:ascii="PT Astra Serif" w:hAnsi="PT Astra Serif" w:cs="Times New Roman"/>
                <w:sz w:val="16"/>
              </w:rPr>
              <w:t>3</w:t>
            </w:r>
          </w:p>
        </w:tc>
        <w:tc>
          <w:tcPr>
            <w:tcW w:w="1278" w:type="dxa"/>
            <w:vAlign w:val="center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6"/>
              </w:rPr>
            </w:pPr>
            <w:r w:rsidRPr="00AB7E4B">
              <w:rPr>
                <w:rFonts w:ascii="PT Astra Serif" w:hAnsi="PT Astra Serif" w:cs="Times New Roman"/>
                <w:sz w:val="16"/>
              </w:rPr>
              <w:t>4</w:t>
            </w:r>
          </w:p>
        </w:tc>
        <w:tc>
          <w:tcPr>
            <w:tcW w:w="3686" w:type="dxa"/>
            <w:vAlign w:val="center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6"/>
              </w:rPr>
            </w:pPr>
            <w:r w:rsidRPr="00AB7E4B">
              <w:rPr>
                <w:rFonts w:ascii="PT Astra Serif" w:hAnsi="PT Astra Serif" w:cs="Times New Roman"/>
                <w:sz w:val="16"/>
              </w:rPr>
              <w:t>5</w:t>
            </w:r>
          </w:p>
        </w:tc>
        <w:tc>
          <w:tcPr>
            <w:tcW w:w="1242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16"/>
              </w:rPr>
            </w:pPr>
            <w:r>
              <w:rPr>
                <w:rFonts w:ascii="PT Astra Serif" w:hAnsi="PT Astra Serif" w:cs="Times New Roman"/>
                <w:sz w:val="16"/>
              </w:rPr>
              <w:t>6</w:t>
            </w:r>
          </w:p>
        </w:tc>
      </w:tr>
      <w:tr w:rsidR="006A6221" w:rsidRPr="00AB7E4B" w:rsidTr="00DC448B">
        <w:trPr>
          <w:trHeight w:val="20"/>
        </w:trPr>
        <w:tc>
          <w:tcPr>
            <w:tcW w:w="4106" w:type="dxa"/>
          </w:tcPr>
          <w:p w:rsidR="00AB7E4B" w:rsidRPr="00AB7E4B" w:rsidRDefault="006A6221" w:rsidP="009B3DC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Отраслевой корректирующий коэффициент по формам обучения (очно-заочная, заочная)</w:t>
            </w:r>
          </w:p>
        </w:tc>
        <w:tc>
          <w:tcPr>
            <w:tcW w:w="1985" w:type="dxa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2265" w:type="dxa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78" w:type="dxa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3686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42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</w:tr>
      <w:tr w:rsidR="006A6221" w:rsidRPr="00AB7E4B" w:rsidTr="00DC448B">
        <w:trPr>
          <w:trHeight w:val="20"/>
        </w:trPr>
        <w:tc>
          <w:tcPr>
            <w:tcW w:w="4106" w:type="dxa"/>
          </w:tcPr>
          <w:p w:rsidR="00AB7E4B" w:rsidRPr="00AB7E4B" w:rsidRDefault="006A6221" w:rsidP="009B3DC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Отраслевой корректирующий коэффициент на специализированное учреждение по работе со студентами-инвалидами</w:t>
            </w:r>
          </w:p>
        </w:tc>
        <w:tc>
          <w:tcPr>
            <w:tcW w:w="1985" w:type="dxa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2265" w:type="dxa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78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не </w:t>
            </w:r>
            <w:r w:rsidR="00AB7E4B"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3686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42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</w:tr>
      <w:tr w:rsidR="006A6221" w:rsidRPr="00AB7E4B" w:rsidTr="00DC448B">
        <w:trPr>
          <w:trHeight w:val="982"/>
        </w:trPr>
        <w:tc>
          <w:tcPr>
            <w:tcW w:w="4106" w:type="dxa"/>
          </w:tcPr>
          <w:p w:rsidR="00AB7E4B" w:rsidRPr="00AB7E4B" w:rsidRDefault="006A6221" w:rsidP="006A622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Отраслевой корректирующий коэффициент, учитывающий особенности имущественного комплекса областного государственного учреждения</w:t>
            </w:r>
          </w:p>
        </w:tc>
        <w:tc>
          <w:tcPr>
            <w:tcW w:w="1985" w:type="dxa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2265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78" w:type="dxa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3686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42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</w:tr>
      <w:tr w:rsidR="006A6221" w:rsidRPr="00AB7E4B" w:rsidTr="00DC448B">
        <w:trPr>
          <w:trHeight w:val="20"/>
        </w:trPr>
        <w:tc>
          <w:tcPr>
            <w:tcW w:w="4106" w:type="dxa"/>
          </w:tcPr>
          <w:p w:rsidR="00AB7E4B" w:rsidRPr="00AB7E4B" w:rsidRDefault="006A6221" w:rsidP="009B3DC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lastRenderedPageBreak/>
              <w:t xml:space="preserve">Отраслевой корректирующий коэффициент, учитывающий целевой показатель по уровню заработной платы преподавателей и мастеров производственного обучения областного государственного учреждения в соответствии с </w:t>
            </w:r>
            <w:hyperlink r:id="rId11" w:history="1">
              <w:r w:rsidRPr="00AB7E4B">
                <w:rPr>
                  <w:rFonts w:ascii="PT Astra Serif" w:hAnsi="PT Astra Serif" w:cs="Times New Roman"/>
                </w:rPr>
                <w:t>распоряжением</w:t>
              </w:r>
            </w:hyperlink>
            <w:r w:rsidRPr="00AB7E4B">
              <w:rPr>
                <w:rFonts w:ascii="PT Astra Serif" w:hAnsi="PT Astra Serif" w:cs="Times New Roman"/>
              </w:rPr>
              <w:t xml:space="preserve"> Администрации Томской области от 10.04.2013 № 283-ра «Об утверждении Плана мероприятий («дорожной карты») «Изменения в сфере образования в Томской области», а также в соответствии с соглашением об установлении целевых показателей и индикаторов деятельности учреждения в рамках реализации </w:t>
            </w:r>
            <w:hyperlink r:id="rId12" w:history="1">
              <w:r w:rsidRPr="00AB7E4B">
                <w:rPr>
                  <w:rFonts w:ascii="PT Astra Serif" w:hAnsi="PT Astra Serif" w:cs="Times New Roman"/>
                </w:rPr>
                <w:t>Плана</w:t>
              </w:r>
            </w:hyperlink>
            <w:r w:rsidRPr="00AB7E4B">
              <w:rPr>
                <w:rFonts w:ascii="PT Astra Serif" w:hAnsi="PT Astra Serif" w:cs="Times New Roman"/>
              </w:rPr>
              <w:t xml:space="preserve"> мероприятий («дорожной карты») «Изменения в сфере образования в Томской области», заключенным между Департаментом профессионального образования и областным государственным учреждением</w:t>
            </w:r>
          </w:p>
        </w:tc>
        <w:tc>
          <w:tcPr>
            <w:tcW w:w="1985" w:type="dxa"/>
          </w:tcPr>
          <w:p w:rsidR="00AB7E4B" w:rsidRPr="00AB7E4B" w:rsidRDefault="006A6221" w:rsidP="006A62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 xml:space="preserve">применяется в конце финансового года </w:t>
            </w:r>
          </w:p>
        </w:tc>
        <w:tc>
          <w:tcPr>
            <w:tcW w:w="2265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не </w:t>
            </w:r>
            <w:r w:rsidR="00AB7E4B"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78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не </w:t>
            </w:r>
            <w:r w:rsidR="00AB7E4B"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3686" w:type="dxa"/>
          </w:tcPr>
          <w:p w:rsidR="00AB7E4B" w:rsidRPr="00AB7E4B" w:rsidRDefault="00AB7E4B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не применяется</w:t>
            </w:r>
          </w:p>
        </w:tc>
        <w:tc>
          <w:tcPr>
            <w:tcW w:w="1242" w:type="dxa"/>
          </w:tcPr>
          <w:p w:rsidR="00AB7E4B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не применяется</w:t>
            </w:r>
          </w:p>
        </w:tc>
      </w:tr>
      <w:tr w:rsidR="006A6221" w:rsidRPr="00AB7E4B" w:rsidTr="00DC448B">
        <w:trPr>
          <w:trHeight w:val="20"/>
        </w:trPr>
        <w:tc>
          <w:tcPr>
            <w:tcW w:w="4106" w:type="dxa"/>
          </w:tcPr>
          <w:p w:rsidR="006A6221" w:rsidRPr="00AB7E4B" w:rsidRDefault="006A6221" w:rsidP="009B3DC3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Отраслевой корректирующий коэффициент, учитывающий затраты на приобретение расходных материалов, инструментов и инвентаря для проведения демонстрационного экзамена как формы государственной итоговой аттестации обучающихся по федеральным государственным образовательным стандартам среднего профессионального образования, предусматривающим проведение государственной итоговой аттестации в форме демонстрационного экзамена</w:t>
            </w:r>
          </w:p>
        </w:tc>
        <w:tc>
          <w:tcPr>
            <w:tcW w:w="1985" w:type="dxa"/>
          </w:tcPr>
          <w:p w:rsidR="006A6221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не </w:t>
            </w: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2265" w:type="dxa"/>
          </w:tcPr>
          <w:p w:rsidR="006A6221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не </w:t>
            </w: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78" w:type="dxa"/>
          </w:tcPr>
          <w:p w:rsidR="006A6221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не </w:t>
            </w: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3686" w:type="dxa"/>
          </w:tcPr>
          <w:p w:rsidR="006A6221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  <w:tc>
          <w:tcPr>
            <w:tcW w:w="1242" w:type="dxa"/>
          </w:tcPr>
          <w:p w:rsidR="006A6221" w:rsidRPr="00AB7E4B" w:rsidRDefault="006A6221" w:rsidP="009B3D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не </w:t>
            </w:r>
            <w:r w:rsidRPr="00AB7E4B">
              <w:rPr>
                <w:rFonts w:ascii="PT Astra Serif" w:hAnsi="PT Astra Serif" w:cs="Times New Roman"/>
              </w:rPr>
              <w:t>применяется</w:t>
            </w:r>
          </w:p>
        </w:tc>
      </w:tr>
    </w:tbl>
    <w:p w:rsidR="00AB7E4B" w:rsidRPr="00AB7E4B" w:rsidRDefault="00AB7E4B" w:rsidP="00DC448B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</w:p>
    <w:sectPr w:rsidR="00AB7E4B" w:rsidRPr="00AB7E4B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EF7" w:rsidRDefault="00EC4EF7">
      <w:r>
        <w:separator/>
      </w:r>
    </w:p>
  </w:endnote>
  <w:endnote w:type="continuationSeparator" w:id="0">
    <w:p w:rsidR="00EC4EF7" w:rsidRDefault="00EC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EF7" w:rsidRDefault="00EC4EF7">
      <w:r>
        <w:separator/>
      </w:r>
    </w:p>
  </w:footnote>
  <w:footnote w:type="continuationSeparator" w:id="0">
    <w:p w:rsidR="00EC4EF7" w:rsidRDefault="00EC4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FD6279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04A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283"/>
    <w:rsid w:val="00053F05"/>
    <w:rsid w:val="00054140"/>
    <w:rsid w:val="000554D9"/>
    <w:rsid w:val="000564FE"/>
    <w:rsid w:val="000602C7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5F70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43CFC"/>
    <w:rsid w:val="0015273C"/>
    <w:rsid w:val="0015458D"/>
    <w:rsid w:val="0015460A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2FF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D52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2AE9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36A"/>
    <w:rsid w:val="004E3E20"/>
    <w:rsid w:val="004E40D9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8F5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221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808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474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166B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20B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A7D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3B7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B7E4B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12A6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6C48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4F90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2B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CF6D84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69F9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48B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0DBF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4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4EF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3BEC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4EA5"/>
    <w:rsid w:val="00FD6279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B59763A97F38D750842E931DA7A48A37FE2829C3930F07364E9E099CF329E79397A54794EC73EFDE94A47Q9e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B59763A97F38D750842E931DA7A48A37FE2829C3930F07364E9E099CF329E79Q3e9E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91217-F733-4034-B603-E297D9204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</dc:creator>
  <cp:lastModifiedBy>Сукач Александр Александрович</cp:lastModifiedBy>
  <cp:revision>9</cp:revision>
  <cp:lastPrinted>2021-12-17T09:42:00Z</cp:lastPrinted>
  <dcterms:created xsi:type="dcterms:W3CDTF">2021-12-20T03:21:00Z</dcterms:created>
  <dcterms:modified xsi:type="dcterms:W3CDTF">2022-02-07T01:45:00Z</dcterms:modified>
</cp:coreProperties>
</file>