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1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ПРОТОКОЛ № 2/2023</w:t>
      </w:r>
      <w:r>
        <w:rPr>
          <w:sz w:val="26"/>
          <w:szCs w:val="26"/>
        </w:rPr>
      </w:r>
      <w:r/>
    </w:p>
    <w:p>
      <w:pPr>
        <w:pStyle w:val="869"/>
        <w:spacing w:line="240" w:lineRule="auto"/>
        <w:widowControl/>
        <w:rPr>
          <w:rStyle w:val="870"/>
          <w:rFonts w:ascii="PT Astra Serif" w:hAnsi="PT Astra Serif"/>
          <w:color w:val="000000"/>
          <w:sz w:val="26"/>
          <w:szCs w:val="26"/>
        </w:rPr>
      </w:pPr>
      <w:r>
        <w:rPr>
          <w:rStyle w:val="870"/>
          <w:rFonts w:ascii="PT Astra Serif" w:hAnsi="PT Astra Serif"/>
          <w:color w:val="000000" w:themeColor="text1"/>
          <w:sz w:val="26"/>
          <w:szCs w:val="26"/>
        </w:rPr>
        <w:t xml:space="preserve">заседания комиссии Департамента професси</w:t>
      </w:r>
      <w:r>
        <w:rPr>
          <w:rStyle w:val="870"/>
          <w:rFonts w:ascii="PT Astra Serif" w:hAnsi="PT Astra Serif"/>
          <w:color w:val="000000" w:themeColor="text1"/>
          <w:sz w:val="26"/>
          <w:szCs w:val="26"/>
        </w:rPr>
        <w:t xml:space="preserve">онального образования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профессионального образования Томской области, и урегулированию конфликта интересов</w:t>
      </w:r>
      <w:r>
        <w:rPr>
          <w:sz w:val="26"/>
          <w:szCs w:val="26"/>
        </w:rPr>
      </w:r>
      <w:r/>
    </w:p>
    <w:p>
      <w:pPr>
        <w:pStyle w:val="869"/>
        <w:spacing w:line="240" w:lineRule="auto"/>
        <w:widowControl/>
        <w:rPr>
          <w:rStyle w:val="870"/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710"/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«30» июня 2023 г.</w:t>
      </w:r>
      <w:r>
        <w:rPr>
          <w:sz w:val="26"/>
          <w:szCs w:val="26"/>
        </w:rPr>
      </w:r>
      <w:r/>
    </w:p>
    <w:p>
      <w:pPr>
        <w:pStyle w:val="869"/>
        <w:spacing w:line="240" w:lineRule="auto"/>
        <w:widowControl/>
        <w:rPr>
          <w:rStyle w:val="870"/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869"/>
        <w:spacing w:line="240" w:lineRule="auto"/>
        <w:widowControl/>
        <w:rPr>
          <w:rStyle w:val="870"/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-108" w:firstLine="108"/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На заседании комиссии присутствовали:</w:t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pStyle w:val="869"/>
        <w:spacing w:line="240" w:lineRule="auto"/>
        <w:widowControl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Style w:val="870"/>
          <w:rFonts w:ascii="PT Astra Serif" w:hAnsi="PT Astra Serif"/>
          <w:color w:val="000000"/>
          <w:sz w:val="26"/>
          <w:szCs w:val="26"/>
        </w:rPr>
      </w:r>
      <w:r>
        <w:rPr>
          <w:rStyle w:val="870"/>
        </w:rPr>
      </w:r>
    </w:p>
    <w:p>
      <w:pPr>
        <w:ind w:firstLine="567"/>
      </w:pPr>
      <w:r>
        <w:rPr>
          <w:rFonts w:ascii="PT Astra Serif" w:hAnsi="PT Astra Serif"/>
          <w:color w:val="000000"/>
          <w:sz w:val="26"/>
          <w:szCs w:val="26"/>
        </w:rPr>
        <w:t xml:space="preserve">...</w:t>
      </w:r>
      <w:r/>
    </w:p>
    <w:p>
      <w:pPr>
        <w:ind w:firstLine="567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ind w:firstLine="567"/>
        <w:jc w:val="both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Кворум: на заседании присутствует 6/6 членов Комиссии, кворум имеется. Заседание правомочно.</w:t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rFonts w:ascii="PT Astra Serif" w:hAnsi="PT Astra Serif"/>
          <w:b/>
          <w:color w:val="000000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/>
          <w:b/>
          <w:color w:val="000000" w:themeColor="text1"/>
          <w:sz w:val="26"/>
          <w:szCs w:val="26"/>
        </w:rPr>
        <w:t xml:space="preserve">Повестка:</w:t>
      </w:r>
      <w:r>
        <w:rPr>
          <w:rFonts w:ascii="PT Astra Serif" w:hAnsi="PT Astra Serif"/>
          <w:b/>
          <w:color w:val="000000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rFonts w:ascii="PT Astra Serif" w:hAnsi="PT Astra Serif"/>
          <w:b/>
          <w:color w:val="000000"/>
          <w:sz w:val="26"/>
          <w:szCs w:val="26"/>
        </w:rPr>
      </w:r>
      <w:r/>
    </w:p>
    <w:p>
      <w:pPr>
        <w:ind w:firstLine="426"/>
        <w:jc w:val="both"/>
        <w:outlineLvl w:val="1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I. О рассмотрении информации о соблюдении (не соблюдении) государственными гражданскими служащими Департамента, ограничений и запретов, а также исполне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ние ими обязанностей, установленных законодательством о государственной гражданской службе и противодействии коррупции за 2 квартал 2023 года.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/>
    </w:p>
    <w:p>
      <w:pPr>
        <w:ind w:firstLine="426"/>
        <w:jc w:val="both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en-US"/>
        </w:rPr>
        <w:t xml:space="preserve">II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. О рассмотрении информации об итогах представления сведений о доходах, расходах, об имуществе и обязательствах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имущественного характера гражданских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служащих, их супругов и несовершеннолетних детей за 2022 год, в том числе о результатах проведения проверки достоверности сведений о доходах и расходах, представленных гражданскими служащими за 2022 год, о размещении у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казанных сведений на официальном сайте Департамента.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/>
    </w:p>
    <w:p>
      <w:pPr>
        <w:ind w:firstLine="426"/>
        <w:jc w:val="both"/>
        <w:outlineLvl w:val="1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en-US"/>
        </w:rPr>
        <w:t xml:space="preserve">III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. Рассмотрение доклада о результатах исполнения пункта 1.15 Региональной программы противодействия коррупции в Томской области на 2018 – 2024 годы, предусматривающего актуализацию и анализе сведений,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содержащихся в анкетах государственных гражданских служащих Департамента об их родственниках и свойственниках в целях выявления возможного конфликта интересов.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/>
    </w:p>
    <w:p>
      <w:pPr>
        <w:pStyle w:val="872"/>
        <w:ind w:firstLine="567"/>
        <w:spacing w:line="240" w:lineRule="auto"/>
        <w:widowControl/>
        <w:tabs>
          <w:tab w:val="left" w:pos="1320" w:leader="none"/>
        </w:tabs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Style w:val="873"/>
          <w:rFonts w:ascii="PT Astra Serif" w:hAnsi="PT Astra Serif"/>
          <w:color w:val="000000"/>
          <w:sz w:val="26"/>
          <w:szCs w:val="26"/>
        </w:rPr>
      </w:r>
      <w:r>
        <w:rPr>
          <w:rStyle w:val="873"/>
        </w:rPr>
      </w:r>
    </w:p>
    <w:p>
      <w:pPr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До рассмотрения вопросов повестки заседания Комиссией рассмотрены процедурные вопросы и приняты решения:</w:t>
      </w:r>
      <w:r>
        <w:rPr>
          <w:sz w:val="26"/>
          <w:szCs w:val="26"/>
        </w:rPr>
      </w:r>
      <w:r/>
    </w:p>
    <w:p>
      <w:pPr>
        <w:ind w:left="567" w:firstLine="709"/>
        <w:jc w:val="both"/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tbl>
      <w:tblPr>
        <w:tblW w:w="992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7"/>
        <w:gridCol w:w="1984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textDirection w:val="lrTb"/>
            <w:noWrap w:val="false"/>
          </w:tcPr>
          <w:p>
            <w:pPr>
              <w:ind w:firstLine="28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Заявлений и ходатайств от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членов Комиссии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10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textDirection w:val="lrTb"/>
            <w:noWrap w:val="false"/>
          </w:tcPr>
          <w:p>
            <w:pPr>
              <w:ind w:firstLine="28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10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37" w:type="dxa"/>
            <w:textDirection w:val="lrTb"/>
            <w:noWrap w:val="false"/>
          </w:tcPr>
          <w:p>
            <w:pPr>
              <w:ind w:firstLine="280"/>
              <w:jc w:val="both"/>
              <w:spacing w:after="10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Решение, принятое Комиссией, о голосовании по 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опросам, включенным в повестку заседания Комиссии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10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открытое голосование 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firstLine="567"/>
        <w:jc w:val="both"/>
      </w:pPr>
      <w:r>
        <w:rPr>
          <w:rFonts w:ascii="PT Astra Serif" w:hAnsi="PT Astra Serif"/>
          <w:sz w:val="26"/>
          <w:szCs w:val="26"/>
        </w:rPr>
        <w:t xml:space="preserve">Все члены Комиссии и лица, участвующие в заседании Комиссии уведомлены</w:t>
      </w:r>
      <w:r>
        <w:rPr>
          <w:rFonts w:ascii="PT Astra Serif" w:hAnsi="PT Astra Serif"/>
          <w:sz w:val="26"/>
          <w:szCs w:val="26"/>
        </w:rPr>
        <w:br/>
        <w:t xml:space="preserve">о неразглашении сведений, ставших им известными в ходе работы Комиссии.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567"/>
        <w:jc w:val="both"/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567"/>
        <w:jc w:val="both"/>
      </w:pPr>
      <w:r>
        <w:rPr>
          <w:rFonts w:ascii="PT Astra Serif" w:hAnsi="PT Astra Serif"/>
          <w:sz w:val="26"/>
          <w:szCs w:val="26"/>
        </w:rPr>
        <w:t xml:space="preserve">Источник информации, содержащей основания для проведения заседания Комиссии: 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rPr>
          <w:rFonts w:ascii="PT Astra Serif" w:hAnsi="PT Astra Serif" w:eastAsia="PT Astra Serif" w:cs="PT Astra Serif"/>
          <w:b/>
          <w:bCs/>
          <w:color w:val="000000"/>
        </w:rPr>
      </w:pPr>
      <w:r>
        <w:rPr>
          <w:rFonts w:ascii="PT Astra Serif" w:hAnsi="PT Astra Serif"/>
          <w:sz w:val="26"/>
          <w:szCs w:val="26"/>
        </w:rPr>
        <w:t xml:space="preserve">- Представление секретаря Коми</w:t>
      </w:r>
      <w:r>
        <w:rPr>
          <w:rFonts w:ascii="PT Astra Serif" w:hAnsi="PT Astra Serif"/>
          <w:sz w:val="26"/>
          <w:szCs w:val="26"/>
        </w:rPr>
        <w:t xml:space="preserve">ссии </w:t>
      </w:r>
      <w:r>
        <w:rPr>
          <w:rFonts w:ascii="PT Astra Serif" w:hAnsi="PT Astra Serif"/>
          <w:sz w:val="26"/>
          <w:szCs w:val="26"/>
        </w:rPr>
        <w:t xml:space="preserve">Юркевич Любови Владимировны</w:t>
      </w:r>
      <w:r>
        <w:rPr>
          <w:rFonts w:ascii="PT Astra Serif" w:hAnsi="PT Astra Serif"/>
          <w:sz w:val="26"/>
          <w:szCs w:val="26"/>
        </w:rPr>
        <w:t xml:space="preserve">, главного специалиста Планово-экономического комитета Департамента профессионального образования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 28.06.2023 г. об осуществлении в </w:t>
      </w:r>
      <w:r>
        <w:rPr>
          <w:rFonts w:ascii="PT Astra Serif" w:hAnsi="PT Astra Serif"/>
          <w:sz w:val="26"/>
          <w:szCs w:val="26"/>
        </w:rPr>
        <w:t xml:space="preserve">Департаменте профессионального образования Томской области</w:t>
      </w:r>
      <w:r>
        <w:rPr>
          <w:rFonts w:ascii="PT Astra Serif" w:hAnsi="PT Astra Serif"/>
          <w:sz w:val="26"/>
          <w:szCs w:val="26"/>
        </w:rPr>
        <w:t xml:space="preserve"> мер по предупреждению коррупции.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left="0" w:right="0" w:firstLine="567"/>
        <w:jc w:val="both"/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/>
    </w:p>
    <w:p>
      <w:pPr>
        <w:pStyle w:val="872"/>
        <w:ind w:firstLine="567"/>
        <w:spacing w:line="240" w:lineRule="auto"/>
        <w:widowControl/>
        <w:tabs>
          <w:tab w:val="left" w:pos="1320" w:leader="none"/>
        </w:tabs>
        <w:rPr>
          <w:rStyle w:val="873"/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0" w:righ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...</w:t>
      </w:r>
      <w:r/>
    </w:p>
    <w:p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sz w:val="26"/>
          <w:szCs w:val="26"/>
        </w:rPr>
      </w:r>
      <w:r/>
    </w:p>
    <w:p>
      <w:pPr>
        <w:ind w:firstLine="567"/>
        <w:jc w:val="both"/>
        <w:tabs>
          <w:tab w:val="left" w:pos="1134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/>
          <w:color w:val="000000" w:themeColor="text1"/>
          <w:sz w:val="26"/>
          <w:szCs w:val="26"/>
        </w:rPr>
        <w:t xml:space="preserve">Решили: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sz w:val="26"/>
          <w:szCs w:val="26"/>
        </w:rPr>
      </w:r>
      <w:r/>
    </w:p>
    <w:p>
      <w:pPr>
        <w:ind w:firstLine="567"/>
        <w:jc w:val="both"/>
        <w:tabs>
          <w:tab w:val="left" w:pos="1134" w:leader="none"/>
        </w:tabs>
        <w:rPr>
          <w:rFonts w:ascii="PT Astra Serif" w:hAnsi="PT Astra Serif"/>
          <w:b w:val="0"/>
          <w:bCs w:val="0"/>
          <w:color w:val="000000" w:themeColor="text1"/>
          <w:sz w:val="26"/>
          <w:szCs w:val="26"/>
          <w14:ligatures w14:val="none"/>
        </w:rPr>
      </w:pPr>
      <w:r>
        <w:rPr>
          <w:rFonts w:ascii="PT Astra Serif" w:hAnsi="PT Astra Serif"/>
          <w:b w:val="0"/>
          <w:bCs w:val="0"/>
          <w:color w:val="000000" w:themeColor="text1"/>
          <w:sz w:val="26"/>
          <w:szCs w:val="26"/>
        </w:rPr>
        <w:t xml:space="preserve">По всем вопросам повестки дня информацию принять к сведен</w:t>
      </w:r>
      <w:r>
        <w:rPr>
          <w:rFonts w:ascii="PT Astra Serif" w:hAnsi="PT Astra Serif"/>
          <w:b w:val="0"/>
          <w:bCs w:val="0"/>
          <w:color w:val="000000" w:themeColor="text1"/>
          <w:sz w:val="26"/>
          <w:szCs w:val="26"/>
        </w:rPr>
        <w:t xml:space="preserve">ию.</w:t>
      </w:r>
      <w:r>
        <w:rPr>
          <w:rFonts w:ascii="PT Astra Serif" w:hAnsi="PT Astra Serif"/>
          <w:b w:val="0"/>
          <w:bCs w:val="0"/>
          <w:color w:val="000000" w:themeColor="text1"/>
          <w:sz w:val="26"/>
          <w:szCs w:val="26"/>
        </w:rPr>
      </w:r>
      <w:r/>
    </w:p>
    <w:p>
      <w:pPr>
        <w:ind w:firstLine="567"/>
        <w:jc w:val="both"/>
        <w:tabs>
          <w:tab w:val="left" w:pos="1134" w:leader="none"/>
        </w:tabs>
        <w:rPr>
          <w:rFonts w:ascii="PT Astra Serif" w:hAnsi="PT Astra Serif"/>
          <w:b w:val="0"/>
          <w:bCs w:val="0"/>
          <w:color w:val="000000" w:themeColor="text1"/>
          <w:sz w:val="26"/>
          <w:szCs w:val="26"/>
          <w14:ligatures w14:val="none"/>
        </w:rPr>
      </w:pPr>
      <w:r>
        <w:rPr>
          <w:rFonts w:ascii="PT Astra Serif" w:hAnsi="PT Astra Serif"/>
          <w:b w:val="0"/>
          <w:bCs w:val="0"/>
          <w:color w:val="000000" w:themeColor="text1"/>
          <w:sz w:val="26"/>
          <w:szCs w:val="26"/>
        </w:rPr>
      </w:r>
      <w:r>
        <w:rPr>
          <w:rFonts w:ascii="PT Astra Serif" w:hAnsi="PT Astra Serif"/>
          <w:b w:val="0"/>
          <w:bCs w:val="0"/>
          <w:color w:val="000000" w:themeColor="text1"/>
          <w:sz w:val="26"/>
          <w:szCs w:val="26"/>
        </w:rPr>
      </w:r>
      <w:r/>
    </w:p>
    <w:p>
      <w:pPr>
        <w:ind w:left="567"/>
        <w:jc w:val="both"/>
        <w:tabs>
          <w:tab w:val="left" w:pos="1134" w:leader="none"/>
        </w:tabs>
        <w:rPr>
          <w:rFonts w:ascii="PT Astra Serif" w:hAnsi="PT Astra Serif"/>
          <w:strike/>
          <w:color w:val="000000"/>
          <w:sz w:val="26"/>
          <w:szCs w:val="26"/>
        </w:rPr>
      </w:pPr>
      <w:r>
        <w:rPr>
          <w:rFonts w:ascii="PT Astra Serif" w:hAnsi="PT Astra Serif"/>
          <w:strike/>
          <w:color w:val="000000"/>
          <w:sz w:val="26"/>
          <w:szCs w:val="26"/>
        </w:rPr>
      </w:r>
      <w:r>
        <w:rPr>
          <w:sz w:val="26"/>
          <w:szCs w:val="26"/>
        </w:rPr>
      </w:r>
      <w:r/>
    </w:p>
    <w:p>
      <w:pPr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sz w:val="26"/>
          <w:szCs w:val="26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49" w:bottom="680" w:left="1276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  <w:jc w:val="center"/>
      <w:rPr>
        <w:rFonts w:ascii="PT Astra Serif" w:hAnsi="PT Astra Serif" w:eastAsia="PT Astra Serif" w:cs="PT Astra Serif"/>
        <w:sz w:val="26"/>
      </w:rPr>
    </w:pPr>
    <w:r>
      <w:fldChar w:fldCharType="begin"/>
    </w:r>
    <w:r>
      <w:instrText xml:space="preserve">PAGE   \* MERGEFORMAT</w:instrText>
    </w:r>
    <w:r>
      <w:rPr>
        <w:rFonts w:ascii="PT Astra Serif" w:hAnsi="PT Astra Serif" w:eastAsia="PT Astra Serif" w:cs="PT Astra Serif"/>
        <w:sz w:val="26"/>
      </w:rPr>
      <w:fldChar w:fldCharType="separate"/>
    </w:r>
    <w:r>
      <w:rPr>
        <w:rFonts w:ascii="PT Astra Serif" w:hAnsi="PT Astra Serif" w:eastAsia="PT Astra Serif" w:cs="PT Astra Serif"/>
        <w:sz w:val="26"/>
      </w:rPr>
      <w:t xml:space="preserve">2</w:t>
    </w:r>
    <w:r>
      <w:rPr>
        <w:rFonts w:ascii="PT Astra Serif" w:hAnsi="PT Astra Serif" w:eastAsia="PT Astra Serif" w:cs="PT Astra Serif"/>
        <w:sz w:val="26"/>
      </w:rPr>
      <w:fldChar w:fldCharType="end"/>
    </w:r>
    <w:r/>
  </w:p>
  <w:p>
    <w:pPr>
      <w:pStyle w:val="71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450"/>
        <w:tabs>
          <w:tab w:val="num" w:pos="117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/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qFormat/>
    <w:rPr>
      <w:lang w:eastAsia="zh-CN"/>
    </w:rPr>
  </w:style>
  <w:style w:type="paragraph" w:styleId="673">
    <w:name w:val="Heading 1"/>
    <w:basedOn w:val="672"/>
    <w:next w:val="672"/>
    <w:link w:val="876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674">
    <w:name w:val="Heading 2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  <w:lang w:eastAsia="zh-CN"/>
    </w:rPr>
  </w:style>
  <w:style w:type="paragraph" w:styleId="675">
    <w:name w:val="Heading 3"/>
    <w:link w:val="70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  <w:lang w:eastAsia="zh-CN"/>
    </w:rPr>
  </w:style>
  <w:style w:type="paragraph" w:styleId="676">
    <w:name w:val="Heading 4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  <w:lang w:eastAsia="zh-CN"/>
    </w:rPr>
  </w:style>
  <w:style w:type="paragraph" w:styleId="677">
    <w:name w:val="Heading 5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  <w:lang w:eastAsia="zh-CN"/>
    </w:rPr>
  </w:style>
  <w:style w:type="paragraph" w:styleId="678">
    <w:name w:val="Heading 6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  <w:lang w:eastAsia="zh-CN"/>
    </w:rPr>
  </w:style>
  <w:style w:type="paragraph" w:styleId="679">
    <w:name w:val="Heading 7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  <w:lang w:eastAsia="zh-CN"/>
    </w:rPr>
  </w:style>
  <w:style w:type="paragraph" w:styleId="680">
    <w:name w:val="Heading 8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  <w:lang w:eastAsia="zh-CN"/>
    </w:rPr>
  </w:style>
  <w:style w:type="paragraph" w:styleId="681">
    <w:name w:val="Heading 9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  <w:lang w:eastAsia="zh-CN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686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93" w:customStyle="1">
    <w:name w:val="Title Char"/>
    <w:basedOn w:val="682"/>
    <w:uiPriority w:val="10"/>
    <w:rPr>
      <w:sz w:val="48"/>
      <w:szCs w:val="48"/>
    </w:rPr>
  </w:style>
  <w:style w:type="character" w:styleId="694" w:customStyle="1">
    <w:name w:val="Subtitle Char"/>
    <w:basedOn w:val="682"/>
    <w:uiPriority w:val="11"/>
    <w:rPr>
      <w:sz w:val="24"/>
      <w:szCs w:val="24"/>
    </w:rPr>
  </w:style>
  <w:style w:type="character" w:styleId="695" w:customStyle="1">
    <w:name w:val="Quote Char"/>
    <w:uiPriority w:val="29"/>
    <w:rPr>
      <w:i/>
    </w:rPr>
  </w:style>
  <w:style w:type="character" w:styleId="696" w:customStyle="1">
    <w:name w:val="Intense Quote Char"/>
    <w:uiPriority w:val="30"/>
    <w:rPr>
      <w:i/>
    </w:rPr>
  </w:style>
  <w:style w:type="character" w:styleId="697" w:customStyle="1">
    <w:name w:val="Footnote Text Char"/>
    <w:uiPriority w:val="99"/>
    <w:rPr>
      <w:sz w:val="18"/>
    </w:rPr>
  </w:style>
  <w:style w:type="character" w:styleId="698" w:customStyle="1">
    <w:name w:val="Endnote Text Char"/>
    <w:uiPriority w:val="99"/>
    <w:rPr>
      <w:sz w:val="20"/>
    </w:rPr>
  </w:style>
  <w:style w:type="character" w:styleId="699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link w:val="674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link w:val="675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List Paragraph"/>
    <w:uiPriority w:val="34"/>
    <w:qFormat/>
    <w:pPr>
      <w:contextualSpacing/>
      <w:ind w:left="720"/>
    </w:pPr>
    <w:rPr>
      <w:lang w:eastAsia="zh-CN"/>
    </w:rPr>
  </w:style>
  <w:style w:type="paragraph" w:styleId="709">
    <w:name w:val="No Spacing"/>
    <w:uiPriority w:val="1"/>
    <w:qFormat/>
    <w:rPr>
      <w:lang w:eastAsia="zh-CN"/>
    </w:rPr>
  </w:style>
  <w:style w:type="paragraph" w:styleId="710">
    <w:name w:val="Title"/>
    <w:basedOn w:val="672"/>
    <w:link w:val="711"/>
    <w:pPr>
      <w:jc w:val="center"/>
    </w:pPr>
    <w:rPr>
      <w:b/>
      <w:sz w:val="28"/>
    </w:rPr>
  </w:style>
  <w:style w:type="character" w:styleId="711" w:customStyle="1">
    <w:name w:val="Название Знак"/>
    <w:link w:val="710"/>
    <w:uiPriority w:val="10"/>
    <w:rPr>
      <w:sz w:val="48"/>
      <w:szCs w:val="48"/>
    </w:rPr>
  </w:style>
  <w:style w:type="paragraph" w:styleId="712">
    <w:name w:val="Subtitle"/>
    <w:link w:val="713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styleId="713" w:customStyle="1">
    <w:name w:val="Подзаголовок Знак"/>
    <w:link w:val="712"/>
    <w:uiPriority w:val="11"/>
    <w:rPr>
      <w:sz w:val="24"/>
      <w:szCs w:val="24"/>
    </w:rPr>
  </w:style>
  <w:style w:type="paragraph" w:styleId="714">
    <w:name w:val="Quote"/>
    <w:link w:val="715"/>
    <w:uiPriority w:val="29"/>
    <w:qFormat/>
    <w:pPr>
      <w:ind w:left="720" w:right="720"/>
    </w:pPr>
    <w:rPr>
      <w:i/>
      <w:lang w:eastAsia="zh-CN"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  <w:lang w:eastAsia="zh-CN"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72"/>
    <w:link w:val="888"/>
    <w:pPr>
      <w:tabs>
        <w:tab w:val="center" w:pos="4677" w:leader="none"/>
        <w:tab w:val="right" w:pos="9355" w:leader="none"/>
      </w:tabs>
    </w:pPr>
  </w:style>
  <w:style w:type="character" w:styleId="719" w:customStyle="1">
    <w:name w:val="Header Char"/>
    <w:uiPriority w:val="99"/>
  </w:style>
  <w:style w:type="paragraph" w:styleId="720">
    <w:name w:val="Footer"/>
    <w:basedOn w:val="672"/>
    <w:link w:val="889"/>
    <w:pPr>
      <w:tabs>
        <w:tab w:val="center" w:pos="4677" w:leader="none"/>
        <w:tab w:val="right" w:pos="9355" w:leader="none"/>
      </w:tabs>
    </w:pPr>
  </w:style>
  <w:style w:type="character" w:styleId="721" w:customStyle="1">
    <w:name w:val="Footer Char"/>
    <w:uiPriority w:val="99"/>
  </w:style>
  <w:style w:type="paragraph" w:styleId="722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styleId="723" w:customStyle="1">
    <w:name w:val="Caption Char"/>
    <w:uiPriority w:val="99"/>
  </w:style>
  <w:style w:type="table" w:styleId="724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50">
    <w:name w:val="Hyperlink"/>
    <w:rPr>
      <w:color w:val="0000ff"/>
      <w:u w:val="single"/>
    </w:rPr>
  </w:style>
  <w:style w:type="paragraph" w:styleId="851">
    <w:name w:val="footnote text"/>
    <w:link w:val="852"/>
    <w:uiPriority w:val="99"/>
    <w:semiHidden/>
    <w:unhideWhenUsed/>
    <w:pPr>
      <w:spacing w:after="40"/>
    </w:pPr>
    <w:rPr>
      <w:sz w:val="18"/>
      <w:lang w:eastAsia="zh-CN"/>
    </w:rPr>
  </w:style>
  <w:style w:type="character" w:styleId="852" w:customStyle="1">
    <w:name w:val="Текст сноски Знак"/>
    <w:link w:val="851"/>
    <w:uiPriority w:val="99"/>
    <w:rPr>
      <w:sz w:val="18"/>
    </w:rPr>
  </w:style>
  <w:style w:type="character" w:styleId="853">
    <w:name w:val="footnote reference"/>
    <w:uiPriority w:val="99"/>
    <w:unhideWhenUsed/>
    <w:rPr>
      <w:vertAlign w:val="superscript"/>
    </w:rPr>
  </w:style>
  <w:style w:type="paragraph" w:styleId="854">
    <w:name w:val="endnote text"/>
    <w:link w:val="855"/>
    <w:uiPriority w:val="99"/>
    <w:semiHidden/>
    <w:unhideWhenUsed/>
    <w:rPr>
      <w:lang w:eastAsia="zh-CN"/>
    </w:rPr>
  </w:style>
  <w:style w:type="character" w:styleId="855" w:customStyle="1">
    <w:name w:val="Текст концевой сноски Знак"/>
    <w:link w:val="854"/>
    <w:uiPriority w:val="99"/>
    <w:rPr>
      <w:sz w:val="20"/>
    </w:rPr>
  </w:style>
  <w:style w:type="character" w:styleId="856">
    <w:name w:val="endnote reference"/>
    <w:uiPriority w:val="99"/>
    <w:semiHidden/>
    <w:unhideWhenUsed/>
    <w:rPr>
      <w:vertAlign w:val="superscript"/>
    </w:rPr>
  </w:style>
  <w:style w:type="paragraph" w:styleId="857">
    <w:name w:val="toc 1"/>
    <w:uiPriority w:val="39"/>
    <w:unhideWhenUsed/>
    <w:pPr>
      <w:spacing w:after="57"/>
    </w:pPr>
    <w:rPr>
      <w:lang w:eastAsia="zh-CN"/>
    </w:rPr>
  </w:style>
  <w:style w:type="paragraph" w:styleId="858">
    <w:name w:val="toc 2"/>
    <w:uiPriority w:val="39"/>
    <w:unhideWhenUsed/>
    <w:pPr>
      <w:ind w:left="283"/>
      <w:spacing w:after="57"/>
    </w:pPr>
    <w:rPr>
      <w:lang w:eastAsia="zh-CN"/>
    </w:rPr>
  </w:style>
  <w:style w:type="paragraph" w:styleId="859">
    <w:name w:val="toc 3"/>
    <w:uiPriority w:val="39"/>
    <w:unhideWhenUsed/>
    <w:pPr>
      <w:ind w:left="567"/>
      <w:spacing w:after="57"/>
    </w:pPr>
    <w:rPr>
      <w:lang w:eastAsia="zh-CN"/>
    </w:rPr>
  </w:style>
  <w:style w:type="paragraph" w:styleId="860">
    <w:name w:val="toc 4"/>
    <w:uiPriority w:val="39"/>
    <w:unhideWhenUsed/>
    <w:pPr>
      <w:ind w:left="850"/>
      <w:spacing w:after="57"/>
    </w:pPr>
    <w:rPr>
      <w:lang w:eastAsia="zh-CN"/>
    </w:rPr>
  </w:style>
  <w:style w:type="paragraph" w:styleId="861">
    <w:name w:val="toc 5"/>
    <w:uiPriority w:val="39"/>
    <w:unhideWhenUsed/>
    <w:pPr>
      <w:ind w:left="1134"/>
      <w:spacing w:after="57"/>
    </w:pPr>
    <w:rPr>
      <w:lang w:eastAsia="zh-CN"/>
    </w:rPr>
  </w:style>
  <w:style w:type="paragraph" w:styleId="862">
    <w:name w:val="toc 6"/>
    <w:uiPriority w:val="39"/>
    <w:unhideWhenUsed/>
    <w:pPr>
      <w:ind w:left="1417"/>
      <w:spacing w:after="57"/>
    </w:pPr>
    <w:rPr>
      <w:lang w:eastAsia="zh-CN"/>
    </w:rPr>
  </w:style>
  <w:style w:type="paragraph" w:styleId="863">
    <w:name w:val="toc 7"/>
    <w:uiPriority w:val="39"/>
    <w:unhideWhenUsed/>
    <w:pPr>
      <w:ind w:left="1701"/>
      <w:spacing w:after="57"/>
    </w:pPr>
    <w:rPr>
      <w:lang w:eastAsia="zh-CN"/>
    </w:rPr>
  </w:style>
  <w:style w:type="paragraph" w:styleId="864">
    <w:name w:val="toc 8"/>
    <w:uiPriority w:val="39"/>
    <w:unhideWhenUsed/>
    <w:pPr>
      <w:ind w:left="1984"/>
      <w:spacing w:after="57"/>
    </w:pPr>
    <w:rPr>
      <w:lang w:eastAsia="zh-CN"/>
    </w:rPr>
  </w:style>
  <w:style w:type="paragraph" w:styleId="865">
    <w:name w:val="toc 9"/>
    <w:uiPriority w:val="39"/>
    <w:unhideWhenUsed/>
    <w:pPr>
      <w:ind w:left="2268"/>
      <w:spacing w:after="57"/>
    </w:pPr>
    <w:rPr>
      <w:lang w:eastAsia="zh-CN"/>
    </w:rPr>
  </w:style>
  <w:style w:type="paragraph" w:styleId="866">
    <w:name w:val="TOC Heading"/>
    <w:uiPriority w:val="39"/>
    <w:unhideWhenUsed/>
    <w:rPr>
      <w:lang w:eastAsia="zh-CN"/>
    </w:rPr>
  </w:style>
  <w:style w:type="paragraph" w:styleId="867">
    <w:name w:val="table of figures"/>
    <w:uiPriority w:val="99"/>
    <w:unhideWhenUsed/>
    <w:rPr>
      <w:lang w:eastAsia="zh-CN"/>
    </w:rPr>
  </w:style>
  <w:style w:type="paragraph" w:styleId="868">
    <w:name w:val="Balloon Text"/>
    <w:basedOn w:val="672"/>
    <w:semiHidden/>
    <w:rPr>
      <w:rFonts w:ascii="Tahoma" w:hAnsi="Tahoma"/>
      <w:sz w:val="16"/>
      <w:szCs w:val="16"/>
    </w:rPr>
  </w:style>
  <w:style w:type="paragraph" w:styleId="869" w:customStyle="1">
    <w:name w:val="Style4"/>
    <w:basedOn w:val="672"/>
    <w:pPr>
      <w:jc w:val="center"/>
      <w:spacing w:line="323" w:lineRule="exact"/>
      <w:widowControl w:val="off"/>
    </w:pPr>
    <w:rPr>
      <w:sz w:val="24"/>
      <w:szCs w:val="24"/>
    </w:rPr>
  </w:style>
  <w:style w:type="character" w:styleId="870" w:customStyle="1">
    <w:name w:val="Font Style13"/>
    <w:rPr>
      <w:rFonts w:ascii="Times New Roman" w:hAnsi="Times New Roman"/>
      <w:sz w:val="26"/>
      <w:szCs w:val="26"/>
    </w:rPr>
  </w:style>
  <w:style w:type="paragraph" w:styleId="871" w:customStyle="1">
    <w:name w:val="Style6"/>
    <w:basedOn w:val="672"/>
    <w:pPr>
      <w:widowControl w:val="off"/>
    </w:pPr>
    <w:rPr>
      <w:sz w:val="24"/>
      <w:szCs w:val="24"/>
    </w:rPr>
  </w:style>
  <w:style w:type="paragraph" w:styleId="872" w:customStyle="1">
    <w:name w:val="Style3"/>
    <w:basedOn w:val="672"/>
    <w:pPr>
      <w:ind w:firstLine="773"/>
      <w:jc w:val="both"/>
      <w:spacing w:line="320" w:lineRule="exact"/>
      <w:widowControl w:val="off"/>
    </w:pPr>
    <w:rPr>
      <w:sz w:val="24"/>
      <w:szCs w:val="24"/>
    </w:rPr>
  </w:style>
  <w:style w:type="character" w:styleId="873" w:customStyle="1">
    <w:name w:val="Font Style11"/>
    <w:rPr>
      <w:rFonts w:ascii="Times New Roman" w:hAnsi="Times New Roman"/>
      <w:sz w:val="26"/>
      <w:szCs w:val="26"/>
    </w:rPr>
  </w:style>
  <w:style w:type="paragraph" w:styleId="874" w:customStyle="1">
    <w:name w:val="Style7"/>
    <w:basedOn w:val="672"/>
    <w:pPr>
      <w:spacing w:line="326" w:lineRule="exact"/>
      <w:widowControl w:val="off"/>
    </w:pPr>
    <w:rPr>
      <w:sz w:val="24"/>
      <w:szCs w:val="24"/>
    </w:rPr>
  </w:style>
  <w:style w:type="paragraph" w:styleId="875" w:customStyle="1">
    <w:name w:val="ConsPlusNormal"/>
    <w:rPr>
      <w:sz w:val="26"/>
      <w:szCs w:val="26"/>
    </w:rPr>
  </w:style>
  <w:style w:type="character" w:styleId="876" w:customStyle="1">
    <w:name w:val="Заголовок 1 Знак"/>
    <w:link w:val="673"/>
    <w:rPr>
      <w:rFonts w:ascii="Cambria" w:hAnsi="Cambria"/>
      <w:b/>
      <w:bCs/>
      <w:sz w:val="32"/>
      <w:szCs w:val="32"/>
    </w:rPr>
  </w:style>
  <w:style w:type="paragraph" w:styleId="877" w:customStyle="1">
    <w:name w:val="Адресные реквизиты"/>
    <w:basedOn w:val="880"/>
    <w:next w:val="880"/>
    <w:pPr>
      <w:spacing w:after="0"/>
    </w:pPr>
    <w:rPr>
      <w:sz w:val="16"/>
      <w:szCs w:val="24"/>
    </w:rPr>
  </w:style>
  <w:style w:type="paragraph" w:styleId="878" w:customStyle="1">
    <w:name w:val="Знак"/>
    <w:basedOn w:val="672"/>
    <w:pPr>
      <w:spacing w:after="160" w:line="240" w:lineRule="exact"/>
    </w:pPr>
    <w:rPr>
      <w:rFonts w:ascii="Verdana" w:hAnsi="Verdana"/>
      <w:lang w:val="en-US" w:eastAsia="en-US"/>
    </w:rPr>
  </w:style>
  <w:style w:type="paragraph" w:styleId="879" w:customStyle="1">
    <w:name w:val="Default"/>
    <w:rPr>
      <w:color w:val="000000"/>
      <w:sz w:val="24"/>
      <w:szCs w:val="24"/>
    </w:rPr>
  </w:style>
  <w:style w:type="paragraph" w:styleId="880">
    <w:name w:val="Body Text"/>
    <w:basedOn w:val="672"/>
    <w:link w:val="881"/>
    <w:pPr>
      <w:spacing w:after="120"/>
    </w:pPr>
  </w:style>
  <w:style w:type="character" w:styleId="881" w:customStyle="1">
    <w:name w:val="Основной текст Знак"/>
    <w:basedOn w:val="682"/>
    <w:link w:val="880"/>
  </w:style>
  <w:style w:type="character" w:styleId="882">
    <w:name w:val="annotation reference"/>
    <w:rPr>
      <w:sz w:val="16"/>
      <w:szCs w:val="16"/>
    </w:rPr>
  </w:style>
  <w:style w:type="paragraph" w:styleId="883">
    <w:name w:val="annotation text"/>
    <w:basedOn w:val="672"/>
    <w:link w:val="884"/>
  </w:style>
  <w:style w:type="character" w:styleId="884" w:customStyle="1">
    <w:name w:val="Текст примечания Знак"/>
    <w:basedOn w:val="682"/>
    <w:link w:val="883"/>
  </w:style>
  <w:style w:type="paragraph" w:styleId="885">
    <w:name w:val="annotation subject"/>
    <w:basedOn w:val="883"/>
    <w:next w:val="883"/>
    <w:link w:val="886"/>
    <w:rPr>
      <w:b/>
      <w:bCs/>
    </w:rPr>
  </w:style>
  <w:style w:type="character" w:styleId="886" w:customStyle="1">
    <w:name w:val="Тема примечания Знак"/>
    <w:link w:val="885"/>
    <w:rPr>
      <w:b/>
      <w:bCs/>
    </w:rPr>
  </w:style>
  <w:style w:type="paragraph" w:styleId="887" w:customStyle="1">
    <w:name w:val="ConsPlusNonformat"/>
    <w:pPr>
      <w:widowControl w:val="off"/>
    </w:pPr>
    <w:rPr>
      <w:rFonts w:ascii="Courier New" w:hAnsi="Courier New"/>
    </w:rPr>
  </w:style>
  <w:style w:type="character" w:styleId="888" w:customStyle="1">
    <w:name w:val="Верхний колонтитул Знак"/>
    <w:basedOn w:val="682"/>
    <w:link w:val="718"/>
  </w:style>
  <w:style w:type="character" w:styleId="889" w:customStyle="1">
    <w:name w:val="Нижний колонтитул Знак"/>
    <w:basedOn w:val="682"/>
    <w:link w:val="720"/>
  </w:style>
  <w:style w:type="character" w:styleId="890" w:customStyle="1">
    <w:name w:val="Основной текст + 11 pt"/>
    <w:rPr>
      <w:rFonts w:ascii="Times New Roman" w:hAnsi="Times New Roman" w:eastAsia="Times New Roman"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Осипчук Алена Сергеевна</dc:creator>
  <cp:revision>10</cp:revision>
  <dcterms:created xsi:type="dcterms:W3CDTF">2022-06-28T07:31:00Z</dcterms:created>
  <dcterms:modified xsi:type="dcterms:W3CDTF">2024-02-15T08:23:44Z</dcterms:modified>
</cp:coreProperties>
</file>