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W w:w="5000" w:type="pct"/>
        <w:tblInd w:w="0" w:type="dxa"/>
        <w:tblBorders>
          <w:top w:val="none"/>
          <w:left w:val="none"/>
          <w:bottom w:val="none"/>
          <w:right w:val="none"/>
          <w:insideH w:val="none"/>
          <w:insideV w:val="none"/>
        </w:tblBorders>
      </w:tblPr>
      <w:tblGrid>
        <w:gridCol w:w="10716"/>
      </w:tblGrid>
      <w:tr>
        <w:trPr>
          <w:trHeight w:val="3031" w:hRule="exact"/>
        </w:trPr>
        <w:tc>
          <w:tcPr>
            <w:tcW w:w="10716" w:type="dxa"/>
            <w:tcBorders>
              <w:top w:val="none"/>
              <w:left w:val="none"/>
              <w:bottom w:val="none"/>
              <w:right w:val="none"/>
            </w:tcBorders>
            <w:tcMar>
              <w:left w:w="80" w:type="dxa"/>
              <w:top w:w="60" w:type="dxa"/>
              <w:right w:w="80" w:type="dxa"/>
              <w:bottom w:w="60" w:type="dxa"/>
            </w:tcMar>
          </w:tcPr>
          <w:p>
            <w:pPr>
              <w:pStyle w:val="5"/>
            </w:pPr>
            <w:r>
              <w:rPr>
                <w:position w:val="-61"/>
              </w:rPr>
              <mc:AlternateContent>
                <mc:Choice Requires="wpg">
                  <w:drawing>
                    <wp:inline xmlns:wp="http://schemas.openxmlformats.org/drawingml/2006/wordprocessingDrawing"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r/>
                            </pic:nvPicPr>
                            <pic:blipFill>
                              <a:blip r:embed="rId10"/>
                              <a:srcRect/>
                              <a:stretch/>
                            </pic:blipFill>
                            <pic:spPr bwMode="auto">
                              <a:xfrm>
                                <a:off x="0" y="0"/>
                                <a:ext cx="381000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0pt;height:71.2pt;mso-wrap-distance-left:0.0pt;mso-wrap-distance-top:0.0pt;mso-wrap-distance-right:0.0pt;mso-wrap-distance-bottom:0.0pt;" stroked="f">
                      <v:path textboxrect="0,0,0,0"/>
                      <v:imagedata r:id="rId10" o:title=""/>
                    </v:shape>
                  </w:pict>
                </mc:Fallback>
              </mc:AlternateContent>
            </w:r>
          </w:p>
        </w:tc>
      </w:tr>
      <w:tr>
        <w:trPr>
          <w:trHeight w:val="8335" w:hRule="exact"/>
        </w:trPr>
        <w:tc>
          <w:tcPr>
            <w:tcW w:w="10716" w:type="dxa"/>
            <w:tcBorders>
              <w:top w:val="none"/>
              <w:left w:val="none"/>
              <w:bottom w:val="none"/>
              <w:right w:val="none"/>
            </w:tcBorders>
            <w:tcMar>
              <w:left w:w="80" w:type="dxa"/>
              <w:top w:w="60" w:type="dxa"/>
              <w:right w:w="80" w:type="dxa"/>
              <w:bottom w:w="60" w:type="dxa"/>
            </w:tcMar>
            <w:vAlign w:val="center"/>
          </w:tcPr>
          <w:p>
            <w:pPr>
              <w:pStyle w:val="5"/>
              <w:jc w:val="center"/>
            </w:pPr>
            <w:r>
              <w:rPr>
                <w:sz w:val="48"/>
              </w:rPr>
              <w:t xml:space="preserve">Постановление Администрации Томской области от 28.07.2025 N 343а</w:t>
              <w:br/>
              <w:t xml:space="preserve">(ред. от 26.03.2026)</w:t>
              <w:br/>
              <w:t xml:space="preserve">"Об определении Порядка проведения отбора лиц, имеющих право на получение меры социальной поддержки в виде единовременной денежной выплаты педагогическим работникам областных государственных и муниципальных общеобразовательных организаций в Томской области"</w:t>
            </w:r>
          </w:p>
        </w:tc>
      </w:tr>
      <w:tr>
        <w:trPr>
          <w:trHeight w:val="3031" w:hRule="exact"/>
        </w:trPr>
        <w:tc>
          <w:tcPr>
            <w:tcW w:w="10716" w:type="dxa"/>
            <w:tcBorders>
              <w:top w:val="none"/>
              <w:left w:val="none"/>
              <w:bottom w:val="none"/>
              <w:right w:val="none"/>
            </w:tcBorders>
            <w:tcMar>
              <w:left w:w="80" w:type="dxa"/>
              <w:top w:w="60" w:type="dxa"/>
              <w:right w:w="80" w:type="dxa"/>
              <w:bottom w:w="60" w:type="dxa"/>
            </w:tcMar>
            <w:vAlign w:val="center"/>
          </w:tcPr>
          <w:p>
            <w:pPr>
              <w:pStyle w:val="5"/>
              <w:jc w:val="center"/>
            </w:pPr>
            <w:r>
              <w:rPr>
                <w:sz w:val="28"/>
              </w:rPr>
              <w:t xml:space="preserve">Документ предоставлен </w:t>
            </w:r>
            <w:hyperlink r:id="rId11" w:tooltip="Ссылка на КонсультантПлюс" w:history="0">
              <w:r>
                <w:rPr>
                  <w:b/>
                  <w:color w:val="0000ff"/>
                  <w:sz w:val="28"/>
                </w:rPr>
                <w:t xml:space="preserve">КонсультантПлюс</w:t>
                <w:br/>
                <w:br/>
              </w:r>
            </w:hyperlink>
            <w:hyperlink r:id="rId12" w:tooltip="Ссылка на КонсультантПлюс" w:history="0">
              <w:r>
                <w:rPr>
                  <w:b/>
                  <w:color w:val="0000ff"/>
                  <w:sz w:val="28"/>
                </w:rPr>
                <w:t xml:space="preserve">www.consultant.ru</w:t>
              </w:r>
            </w:hyperlink>
            <w:r>
              <w:rPr>
                <w:sz w:val="28"/>
              </w:rPr>
              <w:br/>
              <w:br/>
              <w:t xml:space="preserve">Дата сохранения: 17.06.2026</w:t>
            </w:r>
            <w:r>
              <w:rPr>
                <w:sz w:val="28"/>
              </w:rPr>
              <w:br/>
              <w:t xml:space="preserve"> </w:t>
            </w:r>
          </w:p>
        </w:tc>
      </w:tr>
    </w:tbl>
    <w:p>
      <w:pPr>
        <w:sectPr>
          <w:pgSz w:w="11906" w:h="16838"/>
          <w:pgMar w:top="841" w:right="595" w:bottom="841" w:left="595" w:header="0" w:footer="0" w:gutter="0"/>
          <w:cols w:space="708"/>
          <w:docGrid w:linePitch="360"/>
          <w:titlePg/>
        </w:sectPr>
      </w:pPr>
    </w:p>
    <w:p>
      <w:pPr>
        <w:pStyle w:val="0"/>
        <w:jc w:val="both"/>
        <w:outlineLvl w:val="0"/>
      </w:pPr>
      <w:r>
        <w:rPr>
          <w:sz w:val="24"/>
        </w:rPr>
      </w:r>
    </w:p>
    <w:p>
      <w:pPr>
        <w:pStyle w:val="2"/>
        <w:jc w:val="center"/>
        <w:outlineLvl w:val="0"/>
      </w:pPr>
      <w:r>
        <w:rPr>
          <w:sz w:val="24"/>
        </w:rPr>
        <w:t xml:space="preserve">АДМИНИСТРАЦИЯ ТОМСКОЙ ОБЛАСТИ</w:t>
      </w:r>
    </w:p>
    <w:p>
      <w:pPr>
        <w:pStyle w:val="2"/>
        <w:jc w:val="both"/>
      </w:pPr>
      <w:r>
        <w:rPr>
          <w:sz w:val="24"/>
        </w:rPr>
      </w:r>
    </w:p>
    <w:p>
      <w:pPr>
        <w:pStyle w:val="2"/>
        <w:jc w:val="center"/>
      </w:pPr>
      <w:r>
        <w:rPr>
          <w:sz w:val="24"/>
        </w:rPr>
        <w:t xml:space="preserve">ПОСТАНОВЛЕНИЕ</w:t>
      </w:r>
    </w:p>
    <w:p>
      <w:pPr>
        <w:pStyle w:val="2"/>
        <w:jc w:val="center"/>
      </w:pPr>
      <w:r>
        <w:rPr>
          <w:sz w:val="24"/>
        </w:rPr>
        <w:t xml:space="preserve">от 28 июля 2025 г. N 343а</w:t>
      </w:r>
    </w:p>
    <w:p>
      <w:pPr>
        <w:pStyle w:val="2"/>
        <w:jc w:val="both"/>
      </w:pPr>
      <w:r>
        <w:rPr>
          <w:sz w:val="24"/>
        </w:rPr>
      </w:r>
    </w:p>
    <w:p>
      <w:pPr>
        <w:pStyle w:val="2"/>
        <w:jc w:val="center"/>
      </w:pPr>
      <w:r>
        <w:rPr>
          <w:sz w:val="24"/>
        </w:rPr>
        <w:t xml:space="preserve">ОБ ОПРЕДЕЛЕНИИ ПОРЯДКА ПРОВЕДЕНИЯ ОТБОРА ЛИЦ, ИМЕЮЩИХ ПРАВО</w:t>
      </w:r>
    </w:p>
    <w:p>
      <w:pPr>
        <w:pStyle w:val="2"/>
        <w:jc w:val="center"/>
      </w:pPr>
      <w:r>
        <w:rPr>
          <w:sz w:val="24"/>
        </w:rPr>
        <w:t xml:space="preserve">НА ПОЛУЧЕНИЕ МЕРЫ СОЦИАЛЬНОЙ ПОДДЕРЖКИ В ВИДЕ ЕДИНОВРЕМЕННОЙ</w:t>
      </w:r>
    </w:p>
    <w:p>
      <w:pPr>
        <w:pStyle w:val="2"/>
        <w:jc w:val="center"/>
      </w:pPr>
      <w:r>
        <w:rPr>
          <w:sz w:val="24"/>
        </w:rPr>
        <w:t xml:space="preserve">ДЕНЕЖНОЙ ВЫПЛАТЫ ПЕДАГОГИЧЕСКИМ РАБОТНИКАМ ОБЛАСТНЫХ</w:t>
      </w:r>
    </w:p>
    <w:p>
      <w:pPr>
        <w:pStyle w:val="2"/>
        <w:jc w:val="center"/>
      </w:pPr>
      <w:r>
        <w:rPr>
          <w:sz w:val="24"/>
        </w:rPr>
        <w:t xml:space="preserve">ГОСУДАРСТВЕННЫХ И МУНИЦИПАЛЬНЫХ ОБЩЕОБРАЗОВАТЕЛЬНЫХ</w:t>
      </w:r>
    </w:p>
    <w:p>
      <w:pPr>
        <w:pStyle w:val="2"/>
        <w:jc w:val="center"/>
      </w:pPr>
      <w:r>
        <w:rPr>
          <w:sz w:val="24"/>
        </w:rPr>
        <w:t xml:space="preserve">ОРГАНИЗАЦИЙ В ТОМСКОЙ ОБЛАСТИ</w:t>
      </w:r>
    </w:p>
    <w:p>
      <w:pPr>
        <w:spacing w:after="1"/>
      </w:pPr>
    </w:p>
    <w:tbl>
      <w:tblPr>
        <w:tblW w:w="5000" w:type="pct"/>
        <w:tblInd w:w="0" w:type="dxa"/>
        <w:tblBorders>
          <w:top w:val="none"/>
          <w:left w:val="none"/>
          <w:bottom w:val="none"/>
          <w:right w:val="none"/>
          <w:insideH w:val="none"/>
          <w:insideV w:val="none"/>
        </w:tblBorders>
      </w:tblPr>
      <w:tblGrid>
        <w:gridCol w:w="60"/>
        <w:gridCol w:w="113"/>
        <w:gridCol w:w="9921"/>
        <w:gridCol w:w="113"/>
      </w:tblGrid>
      <w:tr>
        <w:tc>
          <w:tcPr>
            <w:tcW w:w="60" w:type="dxa"/>
            <w:tcBorders>
              <w:top w:val="none"/>
              <w:left w:val="none"/>
              <w:bottom w:val="none"/>
              <w:right w:val="none"/>
            </w:tcBorders>
            <w:shd w:val="clear" w:fill="ced3f1"/>
            <w:tcMar>
              <w:left w:w="0" w:type="dxa"/>
              <w:top w:w="0" w:type="dxa"/>
              <w:right w:w="0" w:type="dxa"/>
              <w:bottom w:w="0" w:type="dxa"/>
            </w:tcMar>
          </w:tcPr>
          <w:p/>
        </w:tc>
        <w:tc>
          <w:tcPr>
            <w:tcW w:w="113" w:type="dxa"/>
            <w:tcBorders>
              <w:top w:val="none"/>
              <w:left w:val="none"/>
              <w:bottom w:val="none"/>
              <w:right w:val="none"/>
            </w:tcBorders>
            <w:shd w:val="clear" w:fill="f4f3f8"/>
            <w:tcMar>
              <w:left w:w="0" w:type="dxa"/>
              <w:top w:w="0" w:type="dxa"/>
              <w:right w:w="0" w:type="dxa"/>
              <w:bottom w:w="0" w:type="dxa"/>
            </w:tcMar>
          </w:tcPr>
          <w:p/>
        </w:tc>
        <w:tc>
          <w:tcPr>
            <w:tcW w:w="0" w:type="auto"/>
            <w:tcBorders>
              <w:top w:val="none"/>
              <w:left w:val="none"/>
              <w:bottom w:val="none"/>
              <w:right w:val="none"/>
            </w:tcBorders>
            <w:shd w:val="clear" w:fill="f4f3f8"/>
            <w:tcMar>
              <w:left w:w="0" w:type="dxa"/>
              <w:top w:w="113" w:type="dxa"/>
              <w:right w:w="0" w:type="dxa"/>
              <w:bottom w:w="113" w:type="dxa"/>
            </w:tcMar>
          </w:tcPr>
          <w:p>
            <w:pPr>
              <w:pStyle w:val="0"/>
              <w:jc w:val="center"/>
            </w:pPr>
            <w:r>
              <w:rPr>
                <w:color w:val="392c69"/>
                <w:sz w:val="24"/>
              </w:rPr>
              <w:t xml:space="preserve">Список изменяющих документов</w:t>
            </w:r>
          </w:p>
          <w:p>
            <w:pPr>
              <w:pStyle w:val="0"/>
              <w:jc w:val="center"/>
            </w:pPr>
            <w:r>
              <w:rPr>
                <w:color w:val="392c69"/>
                <w:sz w:val="24"/>
              </w:rPr>
              <w:t xml:space="preserve">(в ред. </w:t>
            </w:r>
            <w:r>
              <w:rPr>
                <w:color w:val="392c69"/>
                <w:sz w:val="24"/>
              </w:rPr>
              <w:t xml:space="preserve">постановления</w:t>
            </w:r>
            <w:r>
              <w:rPr>
                <w:color w:val="392c69"/>
                <w:sz w:val="24"/>
              </w:rPr>
              <w:t xml:space="preserve"> Администрации Томской области от 26.03.2026 N 108а)</w:t>
            </w:r>
          </w:p>
        </w:tc>
        <w:tc>
          <w:tcPr>
            <w:tcW w:w="113" w:type="dxa"/>
            <w:tcBorders>
              <w:top w:val="none"/>
              <w:left w:val="none"/>
              <w:bottom w:val="none"/>
              <w:right w:val="none"/>
            </w:tcBorders>
            <w:shd w:val="clear" w:fill="f4f3f8"/>
            <w:tcMar>
              <w:left w:w="0" w:type="dxa"/>
              <w:top w:w="0" w:type="dxa"/>
              <w:right w:w="0" w:type="dxa"/>
              <w:bottom w:w="0" w:type="dxa"/>
            </w:tcMar>
          </w:tcPr>
          <w:p/>
        </w:tc>
      </w:tr>
    </w:tbl>
    <w:p>
      <w:pPr>
        <w:pStyle w:val="0"/>
        <w:jc w:val="both"/>
      </w:pPr>
      <w:r>
        <w:rPr>
          <w:sz w:val="24"/>
        </w:rPr>
      </w:r>
    </w:p>
    <w:p>
      <w:pPr>
        <w:pStyle w:val="0"/>
        <w:ind w:firstLine="540"/>
        <w:jc w:val="both"/>
      </w:pPr>
      <w:r>
        <w:rPr>
          <w:sz w:val="24"/>
        </w:rPr>
        <w:t xml:space="preserve">В соответствии с </w:t>
      </w:r>
      <w:r>
        <w:rPr>
          <w:sz w:val="24"/>
        </w:rPr>
        <w:t xml:space="preserve">Законом</w:t>
      </w:r>
      <w:r>
        <w:rPr>
          <w:sz w:val="24"/>
        </w:rPr>
        <w:t xml:space="preserve"> Томской области от 6 июня 2025 года N 49-ОЗ "О дополнительных мерах социальной поддержки педагогических работников областных государственных и муниципальных общеобразовательных организаций в Томской области" постановляю:</w:t>
      </w:r>
    </w:p>
    <w:p>
      <w:pPr>
        <w:pStyle w:val="0"/>
        <w:spacing w:before="240"/>
        <w:ind w:firstLine="540"/>
        <w:jc w:val="both"/>
      </w:pPr>
      <w:r>
        <w:rPr>
          <w:sz w:val="24"/>
        </w:rPr>
        <w:t xml:space="preserve">1. Определить </w:t>
      </w:r>
      <w:hyperlink w:tooltip="ПОРЯДОК" w:anchor="P32" w:history="0">
        <w:r>
          <w:rPr>
            <w:color w:val="0000ff"/>
            <w:sz w:val="24"/>
          </w:rPr>
          <w:t xml:space="preserve">Порядок</w:t>
        </w:r>
      </w:hyperlink>
      <w:r>
        <w:rPr>
          <w:sz w:val="24"/>
        </w:rPr>
        <w:t xml:space="preserve"> проведения отбора лиц, имеющих право на получение меры социальной поддержки в виде единовременной денежной выплаты педагогическим работникам областных государственных и муниципальных общеобразовательных организаций в Томской области, согласно приложению к настоящему постановлению.</w:t>
      </w:r>
    </w:p>
    <w:p>
      <w:pPr>
        <w:pStyle w:val="0"/>
        <w:spacing w:before="240"/>
        <w:ind w:firstLine="540"/>
        <w:jc w:val="both"/>
      </w:pPr>
      <w:r>
        <w:rPr>
          <w:sz w:val="24"/>
        </w:rPr>
        <w:t xml:space="preserve">2. Настоящее постановление вступает в силу со дня его официального опубликования и действует по 31 декабря 2027 года включительно.</w:t>
      </w:r>
    </w:p>
    <w:p>
      <w:pPr>
        <w:pStyle w:val="0"/>
        <w:spacing w:before="240"/>
        <w:ind w:firstLine="540"/>
        <w:jc w:val="both"/>
      </w:pPr>
      <w:r>
        <w:rPr>
          <w:sz w:val="24"/>
        </w:rPr>
        <w:t xml:space="preserve">3. Контроль за исполнением настоящего постановления возложить на заместителя Губернатора Томской области по образованию, молодежной политике и цифровому развитию.</w:t>
      </w:r>
    </w:p>
    <w:p>
      <w:pPr>
        <w:pStyle w:val="0"/>
        <w:jc w:val="both"/>
      </w:pPr>
      <w:r>
        <w:rPr>
          <w:sz w:val="24"/>
        </w:rPr>
      </w:r>
    </w:p>
    <w:p>
      <w:pPr>
        <w:pStyle w:val="0"/>
        <w:jc w:val="right"/>
      </w:pPr>
      <w:r>
        <w:rPr>
          <w:sz w:val="24"/>
        </w:rPr>
        <w:t xml:space="preserve">И.о. Губернатора</w:t>
      </w:r>
    </w:p>
    <w:p>
      <w:pPr>
        <w:pStyle w:val="0"/>
        <w:jc w:val="right"/>
      </w:pPr>
      <w:r>
        <w:rPr>
          <w:sz w:val="24"/>
        </w:rPr>
        <w:t xml:space="preserve">Томской области</w:t>
      </w:r>
    </w:p>
    <w:p>
      <w:pPr>
        <w:pStyle w:val="0"/>
        <w:jc w:val="right"/>
      </w:pPr>
      <w:r>
        <w:rPr>
          <w:sz w:val="24"/>
        </w:rPr>
        <w:t xml:space="preserve">А.М.РОЖКОВ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right"/>
        <w:outlineLvl w:val="0"/>
      </w:pPr>
      <w:r>
        <w:rPr>
          <w:sz w:val="24"/>
        </w:rPr>
        <w:t xml:space="preserve">Определен</w:t>
      </w:r>
    </w:p>
    <w:p>
      <w:pPr>
        <w:pStyle w:val="0"/>
        <w:jc w:val="right"/>
      </w:pPr>
      <w:r>
        <w:rPr>
          <w:sz w:val="24"/>
        </w:rPr>
        <w:t xml:space="preserve">постановлением</w:t>
      </w:r>
    </w:p>
    <w:p>
      <w:pPr>
        <w:pStyle w:val="0"/>
        <w:jc w:val="right"/>
      </w:pPr>
      <w:r>
        <w:rPr>
          <w:sz w:val="24"/>
        </w:rPr>
        <w:t xml:space="preserve">Администрации Томской области</w:t>
      </w:r>
    </w:p>
    <w:p>
      <w:pPr>
        <w:pStyle w:val="0"/>
        <w:jc w:val="right"/>
      </w:pPr>
      <w:r>
        <w:rPr>
          <w:sz w:val="24"/>
        </w:rPr>
        <w:t xml:space="preserve">от 28.07.2025 N 343а</w:t>
      </w:r>
    </w:p>
    <w:p>
      <w:pPr>
        <w:pStyle w:val="0"/>
        <w:jc w:val="both"/>
      </w:pPr>
      <w:r>
        <w:rPr>
          <w:sz w:val="24"/>
        </w:rPr>
      </w:r>
    </w:p>
    <w:bookmarkStart w:id="32" w:name="P32"/>
    <w:bookmarkEnd w:id="32"/>
    <w:p>
      <w:pPr>
        <w:pStyle w:val="2"/>
        <w:jc w:val="center"/>
      </w:pPr>
      <w:r>
        <w:rPr>
          <w:sz w:val="24"/>
        </w:rPr>
        <w:t xml:space="preserve">ПОРЯДОК</w:t>
      </w:r>
    </w:p>
    <w:p>
      <w:pPr>
        <w:pStyle w:val="2"/>
        <w:jc w:val="center"/>
      </w:pPr>
      <w:r>
        <w:rPr>
          <w:sz w:val="24"/>
        </w:rPr>
        <w:t xml:space="preserve">ПРОВЕДЕНИЯ ОТБОРА ЛИЦ, ИМЕЮЩИХ ПРАВО НА ПОЛУЧЕНИЕ МЕРЫ</w:t>
      </w:r>
    </w:p>
    <w:p>
      <w:pPr>
        <w:pStyle w:val="2"/>
        <w:jc w:val="center"/>
      </w:pPr>
      <w:r>
        <w:rPr>
          <w:sz w:val="24"/>
        </w:rPr>
        <w:t xml:space="preserve">СОЦИАЛЬНОЙ ПОДДЕРЖКИ В ВИДЕ ЕДИНОВРЕМЕННОЙ ДЕНЕЖНОЙ ВЫПЛАТЫ</w:t>
      </w:r>
    </w:p>
    <w:p>
      <w:pPr>
        <w:pStyle w:val="2"/>
        <w:jc w:val="center"/>
      </w:pPr>
      <w:r>
        <w:rPr>
          <w:sz w:val="24"/>
        </w:rPr>
        <w:t xml:space="preserve">ПЕДАГОГИЧЕСКИМ РАБОТНИКАМ ОБЛАСТНЫХ ГОСУДАРСТВЕННЫХ</w:t>
      </w:r>
    </w:p>
    <w:p>
      <w:pPr>
        <w:pStyle w:val="2"/>
        <w:jc w:val="center"/>
      </w:pPr>
      <w:r>
        <w:rPr>
          <w:sz w:val="24"/>
        </w:rPr>
        <w:t xml:space="preserve">И МУНИЦИПАЛЬНЫХ ОБЩЕОБРАЗОВАТЕЛЬНЫХ ОРГАНИЗАЦИЙ</w:t>
      </w:r>
    </w:p>
    <w:p>
      <w:pPr>
        <w:pStyle w:val="2"/>
        <w:jc w:val="center"/>
      </w:pPr>
      <w:r>
        <w:rPr>
          <w:sz w:val="24"/>
        </w:rPr>
        <w:t xml:space="preserve">В ТОМСКОЙ ОБЛАСТИ</w:t>
      </w:r>
    </w:p>
    <w:p>
      <w:pPr>
        <w:spacing w:after="1"/>
      </w:pPr>
    </w:p>
    <w:tbl>
      <w:tblPr>
        <w:tblW w:w="5000" w:type="pct"/>
        <w:tblInd w:w="0" w:type="dxa"/>
        <w:tblBorders>
          <w:top w:val="none"/>
          <w:left w:val="none"/>
          <w:bottom w:val="none"/>
          <w:right w:val="none"/>
          <w:insideH w:val="none"/>
          <w:insideV w:val="none"/>
        </w:tblBorders>
      </w:tblPr>
      <w:tblGrid>
        <w:gridCol w:w="60"/>
        <w:gridCol w:w="113"/>
        <w:gridCol w:w="9921"/>
        <w:gridCol w:w="113"/>
      </w:tblGrid>
      <w:tr>
        <w:tc>
          <w:tcPr>
            <w:tcW w:w="60" w:type="dxa"/>
            <w:tcBorders>
              <w:top w:val="none"/>
              <w:left w:val="none"/>
              <w:bottom w:val="none"/>
              <w:right w:val="none"/>
            </w:tcBorders>
            <w:shd w:val="clear" w:fill="ced3f1"/>
            <w:tcMar>
              <w:left w:w="0" w:type="dxa"/>
              <w:top w:w="0" w:type="dxa"/>
              <w:right w:w="0" w:type="dxa"/>
              <w:bottom w:w="0" w:type="dxa"/>
            </w:tcMar>
          </w:tcPr>
          <w:p/>
        </w:tc>
        <w:tc>
          <w:tcPr>
            <w:tcW w:w="113" w:type="dxa"/>
            <w:tcBorders>
              <w:top w:val="none"/>
              <w:left w:val="none"/>
              <w:bottom w:val="none"/>
              <w:right w:val="none"/>
            </w:tcBorders>
            <w:shd w:val="clear" w:fill="f4f3f8"/>
            <w:tcMar>
              <w:left w:w="0" w:type="dxa"/>
              <w:top w:w="0" w:type="dxa"/>
              <w:right w:w="0" w:type="dxa"/>
              <w:bottom w:w="0" w:type="dxa"/>
            </w:tcMar>
          </w:tcPr>
          <w:p/>
        </w:tc>
        <w:tc>
          <w:tcPr>
            <w:tcW w:w="0" w:type="auto"/>
            <w:tcBorders>
              <w:top w:val="none"/>
              <w:left w:val="none"/>
              <w:bottom w:val="none"/>
              <w:right w:val="none"/>
            </w:tcBorders>
            <w:shd w:val="clear" w:fill="f4f3f8"/>
            <w:tcMar>
              <w:left w:w="0" w:type="dxa"/>
              <w:top w:w="113" w:type="dxa"/>
              <w:right w:w="0" w:type="dxa"/>
              <w:bottom w:w="113" w:type="dxa"/>
            </w:tcMar>
          </w:tcPr>
          <w:p>
            <w:pPr>
              <w:pStyle w:val="0"/>
              <w:jc w:val="center"/>
            </w:pPr>
            <w:r>
              <w:rPr>
                <w:color w:val="392c69"/>
                <w:sz w:val="24"/>
              </w:rPr>
              <w:t xml:space="preserve">Список изменяющих документов</w:t>
            </w:r>
          </w:p>
          <w:p>
            <w:pPr>
              <w:pStyle w:val="0"/>
              <w:jc w:val="center"/>
            </w:pPr>
            <w:r>
              <w:rPr>
                <w:color w:val="392c69"/>
                <w:sz w:val="24"/>
              </w:rPr>
              <w:t xml:space="preserve">(в ред. </w:t>
            </w:r>
            <w:r>
              <w:rPr>
                <w:color w:val="392c69"/>
                <w:sz w:val="24"/>
              </w:rPr>
              <w:t xml:space="preserve">постановления</w:t>
            </w:r>
            <w:r>
              <w:rPr>
                <w:color w:val="392c69"/>
                <w:sz w:val="24"/>
              </w:rPr>
              <w:t xml:space="preserve"> Администрации Томской области от 26.03.2026 N 108а)</w:t>
            </w:r>
          </w:p>
        </w:tc>
        <w:tc>
          <w:tcPr>
            <w:tcW w:w="113" w:type="dxa"/>
            <w:tcBorders>
              <w:top w:val="none"/>
              <w:left w:val="none"/>
              <w:bottom w:val="none"/>
              <w:right w:val="none"/>
            </w:tcBorders>
            <w:shd w:val="clear" w:fill="f4f3f8"/>
            <w:tcMar>
              <w:left w:w="0" w:type="dxa"/>
              <w:top w:w="0" w:type="dxa"/>
              <w:right w:w="0" w:type="dxa"/>
              <w:bottom w:w="0" w:type="dxa"/>
            </w:tcMar>
          </w:tcPr>
          <w:p/>
        </w:tc>
      </w:tr>
    </w:tbl>
    <w:p>
      <w:pPr>
        <w:pStyle w:val="0"/>
        <w:jc w:val="both"/>
      </w:pPr>
      <w:r>
        <w:rPr>
          <w:sz w:val="24"/>
        </w:rPr>
      </w:r>
    </w:p>
    <w:p>
      <w:pPr>
        <w:pStyle w:val="2"/>
        <w:jc w:val="center"/>
        <w:outlineLvl w:val="1"/>
      </w:pPr>
      <w:r>
        <w:rPr>
          <w:sz w:val="24"/>
        </w:rPr>
        <w:t xml:space="preserve">1. Общие положения</w:t>
      </w:r>
    </w:p>
    <w:p>
      <w:pPr>
        <w:pStyle w:val="0"/>
        <w:jc w:val="both"/>
      </w:pPr>
      <w:r>
        <w:rPr>
          <w:sz w:val="24"/>
        </w:rPr>
      </w:r>
    </w:p>
    <w:p>
      <w:pPr>
        <w:pStyle w:val="0"/>
        <w:ind w:firstLine="540"/>
        <w:jc w:val="both"/>
      </w:pPr>
      <w:r>
        <w:rPr>
          <w:sz w:val="24"/>
        </w:rPr>
        <w:t xml:space="preserve">1. Настоящий Порядок определяет процедуру проведения и критерии отбора лиц, имеющих право на получение меры социальной поддержки в виде единовременной денежной выплаты педагогическим работникам областных государственных и муниципальных общеобразовательных организаций в Томской области (далее - отбор, единовременная выплата).</w:t>
      </w:r>
    </w:p>
    <w:p>
      <w:pPr>
        <w:pStyle w:val="0"/>
        <w:spacing w:before="240"/>
        <w:ind w:firstLine="540"/>
        <w:jc w:val="both"/>
      </w:pPr>
      <w:r>
        <w:rPr>
          <w:sz w:val="24"/>
        </w:rPr>
        <w:t xml:space="preserve">2. Отбор лиц, имеющих право на получение единовременной выплаты при условии выполнения ими требований </w:t>
      </w:r>
      <w:r>
        <w:rPr>
          <w:sz w:val="24"/>
        </w:rPr>
        <w:t xml:space="preserve">статьи 6</w:t>
      </w:r>
      <w:r>
        <w:rPr>
          <w:sz w:val="24"/>
        </w:rPr>
        <w:t xml:space="preserve"> Закона Томской области от 6 июня 2025 года N 49-ОЗ "О дополнительных мерах социальной поддержки педагогических работников областных государственных и муниципальных общеобразовательных организаций в Томской области" (далее - Закон) проходит ежегодно в два этапа.</w:t>
      </w:r>
    </w:p>
    <w:p>
      <w:pPr>
        <w:pStyle w:val="0"/>
        <w:jc w:val="both"/>
      </w:pPr>
      <w:r>
        <w:rPr>
          <w:sz w:val="24"/>
        </w:rPr>
      </w:r>
    </w:p>
    <w:p>
      <w:pPr>
        <w:pStyle w:val="2"/>
        <w:jc w:val="center"/>
        <w:outlineLvl w:val="1"/>
      </w:pPr>
      <w:r>
        <w:rPr>
          <w:sz w:val="24"/>
        </w:rPr>
        <w:t xml:space="preserve">2. Первый этап отбора</w:t>
      </w:r>
    </w:p>
    <w:p>
      <w:pPr>
        <w:pStyle w:val="0"/>
        <w:jc w:val="both"/>
      </w:pPr>
      <w:r>
        <w:rPr>
          <w:sz w:val="24"/>
        </w:rPr>
      </w:r>
    </w:p>
    <w:p>
      <w:pPr>
        <w:pStyle w:val="0"/>
        <w:ind w:firstLine="540"/>
        <w:jc w:val="both"/>
      </w:pPr>
      <w:r>
        <w:rPr>
          <w:sz w:val="24"/>
        </w:rPr>
        <w:t xml:space="preserve">3. Для участия в отборе заявитель представляет в Департамент образования Томской области (далее - Департамент) заявление об участии в отборе (далее - заявление).</w:t>
      </w:r>
    </w:p>
    <w:p>
      <w:pPr>
        <w:pStyle w:val="0"/>
        <w:spacing w:before="240"/>
        <w:ind w:firstLine="540"/>
        <w:jc w:val="both"/>
      </w:pPr>
      <w:r>
        <w:rPr>
          <w:sz w:val="24"/>
        </w:rPr>
        <w:t xml:space="preserve">К заявлению прилагаются документы, предусмотренные </w:t>
      </w:r>
      <w:r>
        <w:rPr>
          <w:sz w:val="24"/>
        </w:rPr>
        <w:t xml:space="preserve">частью 3 статьи 4</w:t>
      </w:r>
      <w:r>
        <w:rPr>
          <w:sz w:val="24"/>
        </w:rPr>
        <w:t xml:space="preserve"> и </w:t>
      </w:r>
      <w:r>
        <w:rPr>
          <w:sz w:val="24"/>
        </w:rPr>
        <w:t xml:space="preserve">абзацем седьмым части 3 статьи 5</w:t>
      </w:r>
      <w:r>
        <w:rPr>
          <w:sz w:val="24"/>
        </w:rPr>
        <w:t xml:space="preserve"> Закона.</w:t>
      </w:r>
    </w:p>
    <w:p>
      <w:pPr>
        <w:pStyle w:val="0"/>
        <w:spacing w:before="240"/>
        <w:ind w:firstLine="540"/>
        <w:jc w:val="both"/>
      </w:pPr>
      <w:r>
        <w:rPr>
          <w:sz w:val="24"/>
        </w:rPr>
        <w:t xml:space="preserve">4. Заявление и документы, прилагаемые к заявлению, предоставляются в Департамент непосредственно или посредством почтовой связи по адресу: 634029, г. Томск, пр. Фрунзе, д. 14.</w:t>
      </w:r>
    </w:p>
    <w:p>
      <w:pPr>
        <w:pStyle w:val="0"/>
        <w:spacing w:before="240"/>
        <w:ind w:firstLine="540"/>
        <w:jc w:val="both"/>
      </w:pPr>
      <w:r>
        <w:rPr>
          <w:sz w:val="24"/>
        </w:rPr>
        <w:t xml:space="preserve">5. Уполномоченное должностное лицо Департамента регистрирует заявление в день поступления заявления в </w:t>
      </w:r>
      <w:hyperlink w:tooltip="Журнал регистрации" w:anchor="P99" w:history="0">
        <w:r>
          <w:rPr>
            <w:color w:val="0000ff"/>
            <w:sz w:val="24"/>
          </w:rPr>
          <w:t xml:space="preserve">журнале</w:t>
        </w:r>
      </w:hyperlink>
      <w:r>
        <w:rPr>
          <w:sz w:val="24"/>
        </w:rPr>
        <w:t xml:space="preserve"> регистрации заявлений по форме согласно приложению N 1 к настоящему Порядку с указанием даты, времени и номера регистрации заявления.</w:t>
      </w:r>
    </w:p>
    <w:p>
      <w:pPr>
        <w:pStyle w:val="0"/>
        <w:spacing w:before="240"/>
        <w:ind w:firstLine="540"/>
        <w:jc w:val="both"/>
      </w:pPr>
      <w:r>
        <w:rPr>
          <w:sz w:val="24"/>
        </w:rPr>
        <w:t xml:space="preserve">6. В случае предоставления заявления непосредственно в Департамент уполномоченное должностное лицо Департамента выдает заявителю копию заявления с указанием даты, времени и номера регистрации заявления.</w:t>
      </w:r>
    </w:p>
    <w:bookmarkStart w:id="53" w:name="P53"/>
    <w:bookmarkEnd w:id="53"/>
    <w:p>
      <w:pPr>
        <w:pStyle w:val="0"/>
        <w:spacing w:before="240"/>
        <w:ind w:firstLine="540"/>
        <w:jc w:val="both"/>
      </w:pPr>
      <w:r>
        <w:rPr>
          <w:sz w:val="24"/>
        </w:rPr>
        <w:t xml:space="preserve">7. Заявления принимаются:</w:t>
      </w:r>
    </w:p>
    <w:p>
      <w:pPr>
        <w:pStyle w:val="0"/>
        <w:spacing w:before="240"/>
        <w:ind w:firstLine="540"/>
        <w:jc w:val="both"/>
      </w:pPr>
      <w:r>
        <w:rPr>
          <w:sz w:val="24"/>
        </w:rPr>
        <w:t xml:space="preserve">в 2025 году - с 1 августа 2025 года по 15 сентября 2025 года включительно;</w:t>
      </w:r>
    </w:p>
    <w:p>
      <w:pPr>
        <w:pStyle w:val="0"/>
        <w:spacing w:before="240"/>
        <w:ind w:firstLine="540"/>
        <w:jc w:val="both"/>
      </w:pPr>
      <w:r>
        <w:rPr>
          <w:sz w:val="24"/>
        </w:rPr>
        <w:t xml:space="preserve">в 2026 году - с 15 января 2026 года по 15 апреля 2026 года включительно;</w:t>
      </w:r>
    </w:p>
    <w:p>
      <w:pPr>
        <w:pStyle w:val="0"/>
        <w:spacing w:before="240"/>
        <w:ind w:firstLine="540"/>
        <w:jc w:val="both"/>
      </w:pPr>
      <w:r>
        <w:rPr>
          <w:sz w:val="24"/>
        </w:rPr>
        <w:t xml:space="preserve">в 2027 году - с 15 января 2027 года по 15 апреля 2027 года включительно.</w:t>
      </w:r>
    </w:p>
    <w:p>
      <w:pPr>
        <w:pStyle w:val="0"/>
        <w:spacing w:before="240"/>
        <w:ind w:firstLine="540"/>
        <w:jc w:val="both"/>
      </w:pPr>
      <w:r>
        <w:rPr>
          <w:sz w:val="24"/>
        </w:rPr>
        <w:t xml:space="preserve">8. Заявление, поступившее за пределами сроков, предусмотренных пунктом 7 настоящего Порядка, не рассматривается, о чем Департамент уведомляет в письменной форме лицо, подавшее заявление, в течение семи рабочих дней со дня поступления заявления по указанному заявителем в заявлении адресу.</w:t>
      </w:r>
    </w:p>
    <w:bookmarkStart w:id="58" w:name="P58"/>
    <w:bookmarkEnd w:id="58"/>
    <w:p>
      <w:pPr>
        <w:pStyle w:val="0"/>
        <w:spacing w:before="240"/>
        <w:ind w:firstLine="540"/>
        <w:jc w:val="both"/>
      </w:pPr>
      <w:r>
        <w:rPr>
          <w:sz w:val="24"/>
        </w:rPr>
        <w:t xml:space="preserve">9. Департамент на первом этапе отбора не позднее 30 календарных дней со дня окончания срока приема заявлений, указанного в </w:t>
      </w:r>
      <w:hyperlink w:tooltip="7. Заявления принимаются:" w:anchor="P53" w:history="0">
        <w:r>
          <w:rPr>
            <w:color w:val="0000ff"/>
            <w:sz w:val="24"/>
          </w:rPr>
          <w:t xml:space="preserve">пункте 7</w:t>
        </w:r>
      </w:hyperlink>
      <w:r>
        <w:rPr>
          <w:sz w:val="24"/>
        </w:rPr>
        <w:t xml:space="preserve"> настоящего Порядка, рассматривает поступившие заявления и принимает решение об утверждении списка лиц, допущенных к участию в отборе и имеющих право на получение единовременной выплаты при условии выполнения требований, предусмотренных </w:t>
      </w:r>
      <w:r>
        <w:rPr>
          <w:sz w:val="24"/>
        </w:rPr>
        <w:t xml:space="preserve">статьей 6</w:t>
      </w:r>
      <w:r>
        <w:rPr>
          <w:sz w:val="24"/>
        </w:rPr>
        <w:t xml:space="preserve"> Закона (далее - список участников отбора), или об отказе во включении в список участников отбора по основаниям, указанным в </w:t>
      </w:r>
      <w:r>
        <w:rPr>
          <w:sz w:val="24"/>
        </w:rPr>
        <w:t xml:space="preserve">части 5 статьи 4</w:t>
      </w:r>
      <w:r>
        <w:rPr>
          <w:sz w:val="24"/>
        </w:rPr>
        <w:t xml:space="preserve"> Закона.</w:t>
      </w:r>
    </w:p>
    <w:p>
      <w:pPr>
        <w:pStyle w:val="0"/>
        <w:spacing w:before="240"/>
        <w:ind w:firstLine="540"/>
        <w:jc w:val="both"/>
      </w:pPr>
      <w:r>
        <w:rPr>
          <w:sz w:val="24"/>
        </w:rPr>
        <w:t xml:space="preserve">10. Департамент направляет заявителю уведомление об отказе во включении в список участников отбора на указанный заявителем в заявлении адрес не позднее трех рабочих дней со дня принятия Департаментом решения об отказе во включении в список участников отбора.</w:t>
      </w:r>
    </w:p>
    <w:p>
      <w:pPr>
        <w:pStyle w:val="0"/>
        <w:spacing w:before="240"/>
        <w:ind w:firstLine="540"/>
        <w:jc w:val="both"/>
      </w:pPr>
      <w:r>
        <w:rPr>
          <w:sz w:val="24"/>
        </w:rPr>
        <w:t xml:space="preserve">11. В случае отсутствия оснований для принятия решения об отказе во включении в список участников отбора Департамент принимает решение об утверждении списка участников отбора.</w:t>
      </w:r>
    </w:p>
    <w:p>
      <w:pPr>
        <w:pStyle w:val="0"/>
        <w:spacing w:before="240"/>
        <w:ind w:firstLine="540"/>
        <w:jc w:val="both"/>
      </w:pPr>
      <w:r>
        <w:rPr>
          <w:sz w:val="24"/>
        </w:rPr>
        <w:t xml:space="preserve">12. Департамент принимает решения, указанные в </w:t>
      </w:r>
      <w:hyperlink w:tooltip="9. Департамент на первом этапе отбора не позднее 30 календарных дней со дня окончания срока приема заявлений, указанного в пункте 7 настоящего Порядка, рассматривает поступившие заявления и принимает решение об утверждении списка лиц, допущенных к участию в отборе и имеющих право на получение единовременной выплаты при условии выполнения требований, предусмотренных статьей 6 Закона (далее - список участников отбора), или об отказе во включении в список участников отбора по основаниям, указанным в части 5..." w:anchor="P58" w:history="0">
        <w:r>
          <w:rPr>
            <w:color w:val="0000ff"/>
            <w:sz w:val="24"/>
          </w:rPr>
          <w:t xml:space="preserve">пункте 9</w:t>
        </w:r>
      </w:hyperlink>
      <w:r>
        <w:rPr>
          <w:sz w:val="24"/>
        </w:rPr>
        <w:t xml:space="preserve"> настоящего Порядка, в форме распоряжения.</w:t>
      </w:r>
    </w:p>
    <w:p>
      <w:pPr>
        <w:pStyle w:val="0"/>
        <w:jc w:val="both"/>
      </w:pPr>
      <w:r>
        <w:rPr>
          <w:sz w:val="24"/>
        </w:rPr>
      </w:r>
    </w:p>
    <w:p>
      <w:pPr>
        <w:pStyle w:val="2"/>
        <w:jc w:val="center"/>
        <w:outlineLvl w:val="1"/>
      </w:pPr>
      <w:r>
        <w:rPr>
          <w:sz w:val="24"/>
        </w:rPr>
        <w:t xml:space="preserve">3. Второй этап отбора</w:t>
      </w:r>
    </w:p>
    <w:p>
      <w:pPr>
        <w:pStyle w:val="0"/>
        <w:jc w:val="both"/>
      </w:pPr>
      <w:r>
        <w:rPr>
          <w:sz w:val="24"/>
        </w:rPr>
      </w:r>
    </w:p>
    <w:bookmarkStart w:id="65" w:name="P65"/>
    <w:bookmarkEnd w:id="65"/>
    <w:p>
      <w:pPr>
        <w:pStyle w:val="0"/>
        <w:ind w:firstLine="540"/>
        <w:jc w:val="both"/>
      </w:pPr>
      <w:r>
        <w:rPr>
          <w:sz w:val="24"/>
        </w:rPr>
        <w:t xml:space="preserve">13. На втором этапе отбора не позднее 30 календарных дней со дня окончания срока, указанного в </w:t>
      </w:r>
      <w:hyperlink w:tooltip="9. Департамент на первом этапе отбора не позднее 30 календарных дней со дня окончания срока приема заявлений, указанного в пункте 7 настоящего Порядка, рассматривает поступившие заявления и принимает решение об утверждении списка лиц, допущенных к участию в отборе и имеющих право на получение единовременной выплаты при условии выполнения требований, предусмотренных статьей 6 Закона (далее - список участников отбора), или об отказе во включении в список участников отбора по основаниям, указанным в части 5..." w:anchor="P58" w:history="0">
        <w:r>
          <w:rPr>
            <w:color w:val="0000ff"/>
            <w:sz w:val="24"/>
          </w:rPr>
          <w:t xml:space="preserve">пункте 9</w:t>
        </w:r>
      </w:hyperlink>
      <w:r>
        <w:rPr>
          <w:sz w:val="24"/>
        </w:rPr>
        <w:t xml:space="preserve"> настоящего Порядка, комиссия по отбору лиц, имеющих право на получение меры социальной поддержки в виде единовременной выплаты педагогическим работникам областных государственных и муниципальных общеобразовательных организаций в Томской области, состав которой утверждается распоряжением Администрации Томской области (далее - комиссия), принимает решение о включении участника отбора в список лиц, имеющих право на получение единовременной выплаты при условии выполнения требований, предусмотренных </w:t>
      </w:r>
      <w:r>
        <w:rPr>
          <w:sz w:val="24"/>
        </w:rPr>
        <w:t xml:space="preserve">статьей 6</w:t>
      </w:r>
      <w:r>
        <w:rPr>
          <w:sz w:val="24"/>
        </w:rPr>
        <w:t xml:space="preserve"> Закона (далее - список условных правообладателей), или об отказе во включении в список условных правообладателей по основаниям, указанным в </w:t>
      </w:r>
      <w:r>
        <w:rPr>
          <w:sz w:val="24"/>
        </w:rPr>
        <w:t xml:space="preserve">части 4 статьи 5</w:t>
      </w:r>
      <w:r>
        <w:rPr>
          <w:sz w:val="24"/>
        </w:rPr>
        <w:t xml:space="preserve"> Закона.</w:t>
      </w:r>
    </w:p>
    <w:p>
      <w:pPr>
        <w:pStyle w:val="0"/>
        <w:spacing w:before="240"/>
        <w:ind w:firstLine="540"/>
        <w:jc w:val="both"/>
      </w:pPr>
      <w:r>
        <w:rPr>
          <w:sz w:val="24"/>
        </w:rPr>
        <w:t xml:space="preserve">14. На основании решения комиссии об отказе во включении в список условных правообладателей секретарь комиссии направляет участнику отбора уведомление об отказе во включении в список условных правообладателей на указанный участником отбора в заявлении адрес не позднее трех рабочих дней со дня принятия решения комиссией.</w:t>
      </w:r>
    </w:p>
    <w:p>
      <w:pPr>
        <w:pStyle w:val="0"/>
        <w:spacing w:before="240"/>
        <w:ind w:firstLine="540"/>
        <w:jc w:val="both"/>
      </w:pPr>
      <w:r>
        <w:rPr>
          <w:sz w:val="24"/>
        </w:rPr>
        <w:t xml:space="preserve">15. Комиссия проводит экспертизу документов и выставляет участнику отбора баллы по каждому из </w:t>
      </w:r>
      <w:hyperlink w:tooltip="КРИТЕРИИ" w:anchor="P131" w:history="0">
        <w:r>
          <w:rPr>
            <w:color w:val="0000ff"/>
            <w:sz w:val="24"/>
          </w:rPr>
          <w:t xml:space="preserve">критериев</w:t>
        </w:r>
      </w:hyperlink>
      <w:r>
        <w:rPr>
          <w:sz w:val="24"/>
        </w:rPr>
        <w:t xml:space="preserve"> отбора, предусмотренных в приложении N 2 к настоящему Порядку.</w:t>
      </w:r>
    </w:p>
    <w:p>
      <w:pPr>
        <w:pStyle w:val="0"/>
        <w:spacing w:before="240"/>
        <w:ind w:firstLine="540"/>
        <w:jc w:val="both"/>
      </w:pPr>
      <w:r>
        <w:rPr>
          <w:sz w:val="24"/>
        </w:rPr>
        <w:t xml:space="preserve">Итоговый балл участника отбора определяется комиссией путем суммирования баллов по каждому критерию отбора.</w:t>
      </w:r>
    </w:p>
    <w:bookmarkStart w:id="69" w:name="P69"/>
    <w:bookmarkEnd w:id="69"/>
    <w:p>
      <w:pPr>
        <w:pStyle w:val="0"/>
        <w:spacing w:before="240"/>
        <w:ind w:firstLine="540"/>
        <w:jc w:val="both"/>
      </w:pPr>
      <w:r>
        <w:rPr>
          <w:sz w:val="24"/>
        </w:rPr>
        <w:t xml:space="preserve">16. По результатам проведенной экспертизы представленных документов комиссия формирует рейтинг, в котором участники отбора размещаются в порядке убывания полученных участниками отбора баллов, которыми оценена степень соответствия критериям отбора, и определяет список условных правообладателей.</w:t>
      </w:r>
    </w:p>
    <w:p>
      <w:pPr>
        <w:pStyle w:val="0"/>
        <w:spacing w:before="240"/>
        <w:ind w:firstLine="540"/>
        <w:jc w:val="both"/>
      </w:pPr>
      <w:r>
        <w:rPr>
          <w:sz w:val="24"/>
        </w:rPr>
        <w:t xml:space="preserve">17. В список условных правообладателей включаются участники отбора, набравшие наибольшее количество баллов, с соблюдением требований, указанных в пункте 19 настоящего Порядка.</w:t>
      </w:r>
    </w:p>
    <w:p>
      <w:pPr>
        <w:pStyle w:val="0"/>
        <w:spacing w:before="240"/>
        <w:ind w:firstLine="540"/>
        <w:jc w:val="both"/>
      </w:pPr>
      <w:r>
        <w:rPr>
          <w:sz w:val="24"/>
        </w:rPr>
        <w:t xml:space="preserve">18. При равном количестве набранных баллов в список условных правообладателей включается участник отбора, набравший наибольшее количество баллов по критерию отбора "Победы и призовые места, присужденные педагогическому работнику на конкурсах (этапах конкурсов) для педагогических работников, проводимых на основании правовых актов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исполнительных органов Томской области в течение последних 3 лет, предшествующих году проведения отбора, и в год проведения отбора".</w:t>
      </w:r>
    </w:p>
    <w:p>
      <w:pPr>
        <w:pStyle w:val="0"/>
        <w:spacing w:before="240"/>
        <w:ind w:firstLine="540"/>
        <w:jc w:val="both"/>
      </w:pPr>
      <w:r>
        <w:rPr>
          <w:sz w:val="24"/>
        </w:rPr>
        <w:t xml:space="preserve">В случае если несколько участников отбора набрали одинаковое количество баллов по критерию отбора "Победы и призовые места, присужденные педагогическому работнику на конкурсах (этапах конкурсов) для педагогических работников, проводимых на основании правовых актов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исполнительных органов Томской области в течение последних 3 лет, предшествующих году проведения отбора, и в год проведения отбора", в список условных правообладателей включается участник отбора, заявление которого зарегистрировано уполномоченным должностным лицом Департамента ранее других участников отбора по дате и времени.</w:t>
      </w:r>
    </w:p>
    <w:p>
      <w:pPr>
        <w:pStyle w:val="0"/>
        <w:jc w:val="both"/>
      </w:pPr>
      <w:r>
        <w:rPr>
          <w:sz w:val="24"/>
        </w:rPr>
        <w:t xml:space="preserve">(п. 18 в ред. </w:t>
      </w:r>
      <w:r>
        <w:rPr>
          <w:sz w:val="24"/>
        </w:rPr>
        <w:t xml:space="preserve">постановления</w:t>
      </w:r>
      <w:r>
        <w:rPr>
          <w:sz w:val="24"/>
        </w:rPr>
        <w:t xml:space="preserve"> Администрации Томской области от 26.03.2026 N 108а)</w:t>
      </w:r>
    </w:p>
    <w:p>
      <w:pPr>
        <w:pStyle w:val="0"/>
        <w:spacing w:before="240"/>
        <w:ind w:firstLine="540"/>
        <w:jc w:val="both"/>
      </w:pPr>
      <w:r>
        <w:rPr>
          <w:sz w:val="24"/>
        </w:rPr>
        <w:t xml:space="preserve">19. Предельное количество лиц, включаемых в список условных правообладателей, составляет:</w:t>
      </w:r>
    </w:p>
    <w:p>
      <w:pPr>
        <w:pStyle w:val="0"/>
        <w:spacing w:before="240"/>
        <w:ind w:firstLine="540"/>
        <w:jc w:val="both"/>
      </w:pPr>
      <w:r>
        <w:rPr>
          <w:sz w:val="24"/>
        </w:rPr>
        <w:t xml:space="preserve">на 2025 год - 20 человек;</w:t>
      </w:r>
    </w:p>
    <w:p>
      <w:pPr>
        <w:pStyle w:val="0"/>
        <w:spacing w:before="240"/>
        <w:ind w:firstLine="540"/>
        <w:jc w:val="both"/>
      </w:pPr>
      <w:r>
        <w:rPr>
          <w:sz w:val="24"/>
        </w:rPr>
        <w:t xml:space="preserve">на 2026 год - 20 человек;</w:t>
      </w:r>
    </w:p>
    <w:p>
      <w:pPr>
        <w:pStyle w:val="0"/>
        <w:spacing w:before="240"/>
        <w:ind w:firstLine="540"/>
        <w:jc w:val="both"/>
      </w:pPr>
      <w:r>
        <w:rPr>
          <w:sz w:val="24"/>
        </w:rPr>
        <w:t xml:space="preserve">на 2027 год - 20 человек.</w:t>
      </w:r>
    </w:p>
    <w:p>
      <w:pPr>
        <w:pStyle w:val="0"/>
        <w:spacing w:before="240"/>
        <w:ind w:firstLine="540"/>
        <w:jc w:val="both"/>
      </w:pPr>
      <w:r>
        <w:rPr>
          <w:sz w:val="24"/>
        </w:rPr>
        <w:t xml:space="preserve">20. Заседание комиссии правомочно, если на нем присутствует более половины членов комиссии.</w:t>
      </w:r>
    </w:p>
    <w:p>
      <w:pPr>
        <w:pStyle w:val="0"/>
        <w:spacing w:before="240"/>
        <w:ind w:firstLine="540"/>
        <w:jc w:val="both"/>
      </w:pPr>
      <w:r>
        <w:rPr>
          <w:sz w:val="24"/>
        </w:rPr>
        <w:t xml:space="preserve">Решение комиссии принимается большинством голосов присутствующих на заседании членов комиссии путем открытого голосования. При равенстве голосов членов комиссии голос председательствующего на заседании комиссии является решающим.</w:t>
      </w:r>
    </w:p>
    <w:p>
      <w:pPr>
        <w:pStyle w:val="0"/>
        <w:spacing w:before="240"/>
        <w:ind w:firstLine="540"/>
        <w:jc w:val="both"/>
      </w:pPr>
      <w:r>
        <w:rPr>
          <w:sz w:val="24"/>
        </w:rPr>
        <w:t xml:space="preserve">21. Решения комиссии, указанные в </w:t>
      </w:r>
      <w:hyperlink w:tooltip="13. На втором этапе отбора не позднее 30 календарных дней со дня окончания срока, указанного в пункте 9 настоящего Порядка, комиссия по отбору лиц, имеющих право на получение меры социальной поддержки в виде единовременной выплаты педагогическим работникам областных государственных и муниципальных общеобразовательных организаций в Томской области, состав которой утверждается распоряжением Администрации Томской области (далее - комиссия), принимает решение о включении участника отбора в список лиц, имеющи..." w:anchor="P65" w:history="0">
        <w:r>
          <w:rPr>
            <w:color w:val="0000ff"/>
            <w:sz w:val="24"/>
          </w:rPr>
          <w:t xml:space="preserve">пунктах 13</w:t>
        </w:r>
      </w:hyperlink>
      <w:r>
        <w:rPr>
          <w:sz w:val="24"/>
        </w:rPr>
        <w:t xml:space="preserve">, </w:t>
      </w:r>
      <w:hyperlink w:tooltip="16. По результатам проведенной экспертизы представленных документов комиссия формирует рейтинг, в котором участники отбора размещаются в порядке убывания полученных участниками отбора баллов, которыми оценена степень соответствия критериям отбора, и определяет список условных правообладателей." w:anchor="P69" w:history="0">
        <w:r>
          <w:rPr>
            <w:color w:val="0000ff"/>
            <w:sz w:val="24"/>
          </w:rPr>
          <w:t xml:space="preserve">16</w:t>
        </w:r>
      </w:hyperlink>
      <w:r>
        <w:rPr>
          <w:sz w:val="24"/>
        </w:rPr>
        <w:t xml:space="preserve"> настоящего Порядка, оформляются протоколом, который подписывают председательствующий на заседании комиссии, секретарь комиссии и члены комиссии, принимавшие участие в заседании комиссии.</w:t>
      </w:r>
    </w:p>
    <w:p>
      <w:pPr>
        <w:pStyle w:val="0"/>
        <w:spacing w:before="240"/>
        <w:ind w:firstLine="540"/>
        <w:jc w:val="both"/>
      </w:pPr>
      <w:r>
        <w:rPr>
          <w:sz w:val="24"/>
        </w:rPr>
        <w:t xml:space="preserve">22. Департамент не позднее трех рабочих дней со дня принятия комиссией решений, указанных в </w:t>
      </w:r>
      <w:hyperlink w:tooltip="13. На втором этапе отбора не позднее 30 календарных дней со дня окончания срока, указанного в пункте 9 настоящего Порядка, комиссия по отбору лиц, имеющих право на получение меры социальной поддержки в виде единовременной выплаты педагогическим работникам областных государственных и муниципальных общеобразовательных организаций в Томской области, состав которой утверждается распоряжением Администрации Томской области (далее - комиссия), принимает решение о включении участника отбора в список лиц, имеющи..." w:anchor="P65" w:history="0">
        <w:r>
          <w:rPr>
            <w:color w:val="0000ff"/>
            <w:sz w:val="24"/>
          </w:rPr>
          <w:t xml:space="preserve">пунктах 13</w:t>
        </w:r>
      </w:hyperlink>
      <w:r>
        <w:rPr>
          <w:sz w:val="24"/>
        </w:rPr>
        <w:t xml:space="preserve">, </w:t>
      </w:r>
      <w:hyperlink w:tooltip="16. По результатам проведенной экспертизы представленных документов комиссия формирует рейтинг, в котором участники отбора размещаются в порядке убывания полученных участниками отбора баллов, которыми оценена степень соответствия критериям отбора, и определяет список условных правообладателей." w:anchor="P69" w:history="0">
        <w:r>
          <w:rPr>
            <w:color w:val="0000ff"/>
            <w:sz w:val="24"/>
          </w:rPr>
          <w:t xml:space="preserve">16</w:t>
        </w:r>
      </w:hyperlink>
      <w:r>
        <w:rPr>
          <w:sz w:val="24"/>
        </w:rPr>
        <w:t xml:space="preserve"> настоящего Порядка, издает распоряжение об утверждении списка условных правообладателей.</w:t>
      </w:r>
    </w:p>
    <w:p>
      <w:pPr>
        <w:pStyle w:val="0"/>
        <w:spacing w:before="240"/>
        <w:ind w:firstLine="540"/>
        <w:jc w:val="both"/>
      </w:pPr>
      <w:r>
        <w:rPr>
          <w:sz w:val="24"/>
        </w:rPr>
        <w:t xml:space="preserve">23. Департамент направляет лицам, включенным в список условных правообладателей, уведомление о результатах отбора на указанные в заявлении адреса не позднее трех рабочих дней со дня издания распоряжения Департамента, указанного в пункте 22 настоящего Порядка.</w:t>
      </w:r>
    </w:p>
    <w:p>
      <w:pPr>
        <w:pStyle w:val="0"/>
        <w:spacing w:before="240"/>
        <w:ind w:firstLine="540"/>
        <w:jc w:val="both"/>
      </w:pPr>
      <w:r>
        <w:rPr>
          <w:sz w:val="24"/>
        </w:rPr>
        <w:t xml:space="preserve">В уведомлении о результатах отбора лица, включенные в список условных правообладателей, информируются о порядке реализации права на получение единовременной выплаты в соответствии со </w:t>
      </w:r>
      <w:r>
        <w:rPr>
          <w:sz w:val="24"/>
        </w:rPr>
        <w:t xml:space="preserve">статьей 6</w:t>
      </w:r>
      <w:r>
        <w:rPr>
          <w:sz w:val="24"/>
        </w:rPr>
        <w:t xml:space="preserve"> Закона.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right"/>
        <w:outlineLvl w:val="1"/>
      </w:pPr>
      <w:r>
        <w:rPr>
          <w:sz w:val="24"/>
        </w:rPr>
        <w:t xml:space="preserve">Приложение N 1</w:t>
      </w:r>
    </w:p>
    <w:p>
      <w:pPr>
        <w:pStyle w:val="0"/>
        <w:jc w:val="right"/>
      </w:pPr>
      <w:r>
        <w:rPr>
          <w:sz w:val="24"/>
        </w:rPr>
        <w:t xml:space="preserve">к Порядку</w:t>
      </w:r>
    </w:p>
    <w:p>
      <w:pPr>
        <w:pStyle w:val="0"/>
        <w:jc w:val="right"/>
      </w:pPr>
      <w:r>
        <w:rPr>
          <w:sz w:val="24"/>
        </w:rPr>
        <w:t xml:space="preserve">проведения отбора лиц, имеющих право на получение меры</w:t>
      </w:r>
    </w:p>
    <w:p>
      <w:pPr>
        <w:pStyle w:val="0"/>
        <w:jc w:val="right"/>
      </w:pPr>
      <w:r>
        <w:rPr>
          <w:sz w:val="24"/>
        </w:rPr>
        <w:t xml:space="preserve">социальной поддержки в виде единовременной денежной выплаты</w:t>
      </w:r>
    </w:p>
    <w:p>
      <w:pPr>
        <w:pStyle w:val="0"/>
        <w:jc w:val="right"/>
      </w:pPr>
      <w:r>
        <w:rPr>
          <w:sz w:val="24"/>
        </w:rPr>
        <w:t xml:space="preserve">педагогическим работникам областных государственных</w:t>
      </w:r>
    </w:p>
    <w:p>
      <w:pPr>
        <w:pStyle w:val="0"/>
        <w:jc w:val="right"/>
      </w:pPr>
      <w:r>
        <w:rPr>
          <w:sz w:val="24"/>
        </w:rPr>
        <w:t xml:space="preserve">и муниципальных общеобразовательных организаций</w:t>
      </w:r>
    </w:p>
    <w:p>
      <w:pPr>
        <w:pStyle w:val="0"/>
        <w:jc w:val="right"/>
      </w:pPr>
      <w:r>
        <w:rPr>
          <w:sz w:val="24"/>
        </w:rPr>
        <w:t xml:space="preserve">в Томской области</w:t>
      </w:r>
    </w:p>
    <w:p>
      <w:pPr>
        <w:pStyle w:val="0"/>
        <w:jc w:val="both"/>
      </w:pPr>
      <w:r>
        <w:rPr>
          <w:sz w:val="24"/>
        </w:rPr>
      </w:r>
    </w:p>
    <w:p>
      <w:pPr>
        <w:pStyle w:val="0"/>
      </w:pPr>
      <w:r>
        <w:rPr>
          <w:sz w:val="24"/>
        </w:rPr>
        <w:t xml:space="preserve">Форма</w:t>
      </w:r>
    </w:p>
    <w:p>
      <w:pPr>
        <w:pStyle w:val="0"/>
        <w:jc w:val="both"/>
      </w:pPr>
      <w:r>
        <w:rPr>
          <w:sz w:val="24"/>
        </w:rPr>
      </w:r>
    </w:p>
    <w:bookmarkStart w:id="99" w:name="P99"/>
    <w:bookmarkEnd w:id="99"/>
    <w:p>
      <w:pPr>
        <w:pStyle w:val="0"/>
        <w:jc w:val="center"/>
      </w:pPr>
      <w:r>
        <w:rPr>
          <w:sz w:val="24"/>
        </w:rPr>
        <w:t xml:space="preserve">Журнал регистрации</w:t>
      </w:r>
    </w:p>
    <w:p>
      <w:pPr>
        <w:pStyle w:val="0"/>
        <w:jc w:val="center"/>
      </w:pPr>
      <w:r>
        <w:rPr>
          <w:sz w:val="24"/>
        </w:rPr>
        <w:t xml:space="preserve">заявлений об участии в отборе лиц, имеющих право</w:t>
      </w:r>
    </w:p>
    <w:p>
      <w:pPr>
        <w:pStyle w:val="0"/>
        <w:jc w:val="center"/>
      </w:pPr>
      <w:r>
        <w:rPr>
          <w:sz w:val="24"/>
        </w:rPr>
        <w:t xml:space="preserve">на получение меры социальной поддержки в виде единовременной</w:t>
      </w:r>
    </w:p>
    <w:p>
      <w:pPr>
        <w:pStyle w:val="0"/>
        <w:jc w:val="center"/>
      </w:pPr>
      <w:r>
        <w:rPr>
          <w:sz w:val="24"/>
        </w:rPr>
        <w:t xml:space="preserve">денежной выплаты педагогическим работникам областных</w:t>
      </w:r>
    </w:p>
    <w:p>
      <w:pPr>
        <w:pStyle w:val="0"/>
        <w:jc w:val="center"/>
      </w:pPr>
      <w:r>
        <w:rPr>
          <w:sz w:val="24"/>
        </w:rPr>
        <w:t xml:space="preserve">государственных и муниципальных общеобразовательных</w:t>
      </w:r>
    </w:p>
    <w:p>
      <w:pPr>
        <w:pStyle w:val="0"/>
        <w:jc w:val="center"/>
      </w:pPr>
      <w:r>
        <w:rPr>
          <w:sz w:val="24"/>
        </w:rPr>
        <w:t xml:space="preserve">организаций в Томской области</w:t>
      </w:r>
    </w:p>
    <w:p>
      <w:pPr>
        <w:pStyle w:val="0"/>
        <w:jc w:val="both"/>
      </w:pPr>
      <w:r>
        <w:rPr>
          <w:sz w:val="24"/>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454"/>
        <w:gridCol w:w="1414"/>
        <w:gridCol w:w="1414"/>
        <w:gridCol w:w="2041"/>
        <w:gridCol w:w="1294"/>
        <w:gridCol w:w="2438"/>
      </w:tblGrid>
      <w:tr>
        <w:tc>
          <w:tcPr>
            <w:tcW w:w="454" w:type="dxa"/>
            <w:vAlign w:val="center"/>
          </w:tcPr>
          <w:p>
            <w:pPr>
              <w:pStyle w:val="0"/>
              <w:jc w:val="center"/>
            </w:pPr>
            <w:r>
              <w:rPr>
                <w:sz w:val="24"/>
              </w:rPr>
              <w:t xml:space="preserve">N п/п</w:t>
            </w:r>
          </w:p>
        </w:tc>
        <w:tc>
          <w:tcPr>
            <w:tcW w:w="1414" w:type="dxa"/>
            <w:vAlign w:val="center"/>
          </w:tcPr>
          <w:p>
            <w:pPr>
              <w:pStyle w:val="0"/>
              <w:jc w:val="center"/>
            </w:pPr>
            <w:r>
              <w:rPr>
                <w:sz w:val="24"/>
              </w:rPr>
              <w:t xml:space="preserve">Дата регистрации заявления</w:t>
            </w:r>
          </w:p>
        </w:tc>
        <w:tc>
          <w:tcPr>
            <w:tcW w:w="1414" w:type="dxa"/>
            <w:vAlign w:val="center"/>
          </w:tcPr>
          <w:p>
            <w:pPr>
              <w:pStyle w:val="0"/>
              <w:jc w:val="center"/>
            </w:pPr>
            <w:r>
              <w:rPr>
                <w:sz w:val="24"/>
              </w:rPr>
              <w:t xml:space="preserve">Время регистрации заявления</w:t>
            </w:r>
          </w:p>
        </w:tc>
        <w:tc>
          <w:tcPr>
            <w:tcW w:w="2041" w:type="dxa"/>
            <w:vAlign w:val="center"/>
          </w:tcPr>
          <w:p>
            <w:pPr>
              <w:pStyle w:val="0"/>
              <w:jc w:val="center"/>
            </w:pPr>
            <w:r>
              <w:rPr>
                <w:sz w:val="24"/>
              </w:rPr>
              <w:t xml:space="preserve">Фамилия, имя, отчество (последнее - при наличии), должность, место работы заявителя</w:t>
            </w:r>
          </w:p>
        </w:tc>
        <w:tc>
          <w:tcPr>
            <w:tcW w:w="1294" w:type="dxa"/>
            <w:vAlign w:val="center"/>
          </w:tcPr>
          <w:p>
            <w:pPr>
              <w:pStyle w:val="0"/>
              <w:jc w:val="center"/>
            </w:pPr>
            <w:r>
              <w:rPr>
                <w:sz w:val="24"/>
              </w:rPr>
              <w:t xml:space="preserve">Адрес места жительства заявителя</w:t>
            </w:r>
          </w:p>
        </w:tc>
        <w:tc>
          <w:tcPr>
            <w:tcW w:w="2438" w:type="dxa"/>
            <w:vAlign w:val="center"/>
          </w:tcPr>
          <w:p>
            <w:pPr>
              <w:pStyle w:val="0"/>
              <w:jc w:val="center"/>
            </w:pPr>
            <w:r>
              <w:rPr>
                <w:sz w:val="24"/>
              </w:rPr>
              <w:t xml:space="preserve">Фамилия, имя, отчество (последнее - при наличии), должность, подпись лица, зарегистрировавшего заявление</w:t>
            </w:r>
          </w:p>
        </w:tc>
      </w:tr>
      <w:tr>
        <w:tc>
          <w:tcPr>
            <w:tcW w:w="454" w:type="dxa"/>
          </w:tcPr>
          <w:p>
            <w:pPr>
              <w:pStyle w:val="0"/>
              <w:jc w:val="center"/>
            </w:pPr>
            <w:r>
              <w:rPr>
                <w:sz w:val="24"/>
              </w:rPr>
              <w:t xml:space="preserve">1</w:t>
            </w:r>
          </w:p>
        </w:tc>
        <w:tc>
          <w:tcPr>
            <w:tcW w:w="1414" w:type="dxa"/>
          </w:tcPr>
          <w:p>
            <w:pPr>
              <w:pStyle w:val="0"/>
              <w:jc w:val="center"/>
            </w:pPr>
            <w:r>
              <w:rPr>
                <w:sz w:val="24"/>
              </w:rPr>
              <w:t xml:space="preserve">2</w:t>
            </w:r>
          </w:p>
        </w:tc>
        <w:tc>
          <w:tcPr>
            <w:tcW w:w="1414" w:type="dxa"/>
          </w:tcPr>
          <w:p>
            <w:pPr>
              <w:pStyle w:val="0"/>
              <w:jc w:val="center"/>
            </w:pPr>
            <w:r>
              <w:rPr>
                <w:sz w:val="24"/>
              </w:rPr>
              <w:t xml:space="preserve">3</w:t>
            </w:r>
          </w:p>
        </w:tc>
        <w:tc>
          <w:tcPr>
            <w:tcW w:w="2041" w:type="dxa"/>
          </w:tcPr>
          <w:p>
            <w:pPr>
              <w:pStyle w:val="0"/>
              <w:jc w:val="center"/>
            </w:pPr>
            <w:r>
              <w:rPr>
                <w:sz w:val="24"/>
              </w:rPr>
              <w:t xml:space="preserve">4</w:t>
            </w:r>
          </w:p>
        </w:tc>
        <w:tc>
          <w:tcPr>
            <w:tcW w:w="1294" w:type="dxa"/>
          </w:tcPr>
          <w:p>
            <w:pPr>
              <w:pStyle w:val="0"/>
              <w:jc w:val="center"/>
            </w:pPr>
            <w:r>
              <w:rPr>
                <w:sz w:val="24"/>
              </w:rPr>
              <w:t xml:space="preserve">5</w:t>
            </w:r>
          </w:p>
        </w:tc>
        <w:tc>
          <w:tcPr>
            <w:tcW w:w="2438" w:type="dxa"/>
          </w:tcPr>
          <w:p>
            <w:pPr>
              <w:pStyle w:val="0"/>
              <w:jc w:val="center"/>
            </w:pPr>
            <w:r>
              <w:rPr>
                <w:sz w:val="24"/>
              </w:rPr>
              <w:t xml:space="preserve">6</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right"/>
        <w:outlineLvl w:val="1"/>
      </w:pPr>
      <w:r>
        <w:rPr>
          <w:sz w:val="24"/>
        </w:rPr>
        <w:t xml:space="preserve">Приложение N 2</w:t>
      </w:r>
    </w:p>
    <w:p>
      <w:pPr>
        <w:pStyle w:val="0"/>
        <w:jc w:val="right"/>
      </w:pPr>
      <w:r>
        <w:rPr>
          <w:sz w:val="24"/>
        </w:rPr>
        <w:t xml:space="preserve">к Порядку</w:t>
      </w:r>
    </w:p>
    <w:p>
      <w:pPr>
        <w:pStyle w:val="0"/>
        <w:jc w:val="right"/>
      </w:pPr>
      <w:r>
        <w:rPr>
          <w:sz w:val="24"/>
        </w:rPr>
        <w:t xml:space="preserve">проведения отбора лиц, имеющих право на получение меры</w:t>
      </w:r>
    </w:p>
    <w:p>
      <w:pPr>
        <w:pStyle w:val="0"/>
        <w:jc w:val="right"/>
      </w:pPr>
      <w:r>
        <w:rPr>
          <w:sz w:val="24"/>
        </w:rPr>
        <w:t xml:space="preserve">социальной поддержки в виде единовременной денежной выплаты</w:t>
      </w:r>
    </w:p>
    <w:p>
      <w:pPr>
        <w:pStyle w:val="0"/>
        <w:jc w:val="right"/>
      </w:pPr>
      <w:r>
        <w:rPr>
          <w:sz w:val="24"/>
        </w:rPr>
        <w:t xml:space="preserve">педагогическим работникам областных государственных</w:t>
      </w:r>
    </w:p>
    <w:p>
      <w:pPr>
        <w:pStyle w:val="0"/>
        <w:jc w:val="right"/>
      </w:pPr>
      <w:r>
        <w:rPr>
          <w:sz w:val="24"/>
        </w:rPr>
        <w:t xml:space="preserve">и муниципальных общеобразовательных организаций</w:t>
      </w:r>
    </w:p>
    <w:p>
      <w:pPr>
        <w:pStyle w:val="0"/>
        <w:jc w:val="right"/>
      </w:pPr>
      <w:r>
        <w:rPr>
          <w:sz w:val="24"/>
        </w:rPr>
        <w:t xml:space="preserve">в Томской области</w:t>
      </w:r>
    </w:p>
    <w:p>
      <w:pPr>
        <w:pStyle w:val="0"/>
        <w:jc w:val="both"/>
      </w:pPr>
      <w:r>
        <w:rPr>
          <w:sz w:val="24"/>
        </w:rPr>
      </w:r>
    </w:p>
    <w:bookmarkStart w:id="131" w:name="P131"/>
    <w:bookmarkEnd w:id="131"/>
    <w:p>
      <w:pPr>
        <w:pStyle w:val="2"/>
        <w:jc w:val="center"/>
      </w:pPr>
      <w:r>
        <w:rPr>
          <w:sz w:val="24"/>
        </w:rPr>
        <w:t xml:space="preserve">КРИТЕРИИ</w:t>
      </w:r>
    </w:p>
    <w:p>
      <w:pPr>
        <w:pStyle w:val="2"/>
        <w:jc w:val="center"/>
      </w:pPr>
      <w:r>
        <w:rPr>
          <w:sz w:val="24"/>
        </w:rPr>
        <w:t xml:space="preserve">ОТБОРА ДЛЯ ВКЛЮЧЕНИЯ В СПИСОК ЛИЦ, ИМЕЮЩИХ ПРАВО</w:t>
      </w:r>
    </w:p>
    <w:p>
      <w:pPr>
        <w:pStyle w:val="2"/>
        <w:jc w:val="center"/>
      </w:pPr>
      <w:r>
        <w:rPr>
          <w:sz w:val="24"/>
        </w:rPr>
        <w:t xml:space="preserve">НА ПОЛУЧЕНИЕ МЕРЫ СОЦИАЛЬНОЙ ПОДДЕРЖКИ В ВИДЕ ЕДИНОВРЕМЕННОЙ</w:t>
      </w:r>
    </w:p>
    <w:p>
      <w:pPr>
        <w:pStyle w:val="2"/>
        <w:jc w:val="center"/>
      </w:pPr>
      <w:r>
        <w:rPr>
          <w:sz w:val="24"/>
        </w:rPr>
        <w:t xml:space="preserve">ДЕНЕЖНОЙ ВЫПЛАТЫ ПЕДАГОГИЧЕСКИМ РАБОТНИКАМ ОБЛАСТНЫХ</w:t>
      </w:r>
    </w:p>
    <w:p>
      <w:pPr>
        <w:pStyle w:val="2"/>
        <w:jc w:val="center"/>
      </w:pPr>
      <w:r>
        <w:rPr>
          <w:sz w:val="24"/>
        </w:rPr>
        <w:t xml:space="preserve">ГОСУДАРСТВЕННЫХ И МУНИЦИПАЛЬНЫХ ОБЩЕОБРАЗОВАТЕЛЬНЫХ</w:t>
      </w:r>
    </w:p>
    <w:p>
      <w:pPr>
        <w:pStyle w:val="2"/>
        <w:jc w:val="center"/>
      </w:pPr>
      <w:r>
        <w:rPr>
          <w:sz w:val="24"/>
        </w:rPr>
        <w:t xml:space="preserve">ОРГАНИЗАЦИЙ В ТОМСКОЙ ОБЛАСТИ</w:t>
      </w:r>
    </w:p>
    <w:p>
      <w:pPr>
        <w:spacing w:after="1"/>
      </w:pPr>
    </w:p>
    <w:tbl>
      <w:tblPr>
        <w:tblW w:w="5000" w:type="pct"/>
        <w:tblInd w:w="0" w:type="dxa"/>
        <w:tblBorders>
          <w:top w:val="none"/>
          <w:left w:val="none"/>
          <w:bottom w:val="none"/>
          <w:right w:val="none"/>
          <w:insideH w:val="none"/>
          <w:insideV w:val="none"/>
        </w:tblBorders>
      </w:tblPr>
      <w:tblGrid>
        <w:gridCol w:w="60"/>
        <w:gridCol w:w="113"/>
        <w:gridCol w:w="9921"/>
        <w:gridCol w:w="113"/>
      </w:tblGrid>
      <w:tr>
        <w:tc>
          <w:tcPr>
            <w:tcW w:w="60" w:type="dxa"/>
            <w:tcBorders>
              <w:top w:val="none"/>
              <w:left w:val="none"/>
              <w:bottom w:val="none"/>
              <w:right w:val="none"/>
            </w:tcBorders>
            <w:shd w:val="clear" w:fill="ced3f1"/>
            <w:tcMar>
              <w:left w:w="0" w:type="dxa"/>
              <w:top w:w="0" w:type="dxa"/>
              <w:right w:w="0" w:type="dxa"/>
              <w:bottom w:w="0" w:type="dxa"/>
            </w:tcMar>
          </w:tcPr>
          <w:p/>
        </w:tc>
        <w:tc>
          <w:tcPr>
            <w:tcW w:w="113" w:type="dxa"/>
            <w:tcBorders>
              <w:top w:val="none"/>
              <w:left w:val="none"/>
              <w:bottom w:val="none"/>
              <w:right w:val="none"/>
            </w:tcBorders>
            <w:shd w:val="clear" w:fill="f4f3f8"/>
            <w:tcMar>
              <w:left w:w="0" w:type="dxa"/>
              <w:top w:w="0" w:type="dxa"/>
              <w:right w:w="0" w:type="dxa"/>
              <w:bottom w:w="0" w:type="dxa"/>
            </w:tcMar>
          </w:tcPr>
          <w:p/>
        </w:tc>
        <w:tc>
          <w:tcPr>
            <w:tcW w:w="0" w:type="auto"/>
            <w:tcBorders>
              <w:top w:val="none"/>
              <w:left w:val="none"/>
              <w:bottom w:val="none"/>
              <w:right w:val="none"/>
            </w:tcBorders>
            <w:shd w:val="clear" w:fill="f4f3f8"/>
            <w:tcMar>
              <w:left w:w="0" w:type="dxa"/>
              <w:top w:w="113" w:type="dxa"/>
              <w:right w:w="0" w:type="dxa"/>
              <w:bottom w:w="113" w:type="dxa"/>
            </w:tcMar>
          </w:tcPr>
          <w:p>
            <w:pPr>
              <w:pStyle w:val="0"/>
              <w:jc w:val="center"/>
            </w:pPr>
            <w:r>
              <w:rPr>
                <w:color w:val="392c69"/>
                <w:sz w:val="24"/>
              </w:rPr>
              <w:t xml:space="preserve">Список изменяющих документов</w:t>
            </w:r>
          </w:p>
          <w:p>
            <w:pPr>
              <w:pStyle w:val="0"/>
              <w:jc w:val="center"/>
            </w:pPr>
            <w:r>
              <w:rPr>
                <w:color w:val="392c69"/>
                <w:sz w:val="24"/>
              </w:rPr>
              <w:t xml:space="preserve">(в ред. </w:t>
            </w:r>
            <w:r>
              <w:rPr>
                <w:color w:val="392c69"/>
                <w:sz w:val="24"/>
              </w:rPr>
              <w:t xml:space="preserve">постановления</w:t>
            </w:r>
            <w:r>
              <w:rPr>
                <w:color w:val="392c69"/>
                <w:sz w:val="24"/>
              </w:rPr>
              <w:t xml:space="preserve"> Администрации Томской области от 26.03.2026 N 108а)</w:t>
            </w:r>
          </w:p>
        </w:tc>
        <w:tc>
          <w:tcPr>
            <w:tcW w:w="113" w:type="dxa"/>
            <w:tcBorders>
              <w:top w:val="none"/>
              <w:left w:val="none"/>
              <w:bottom w:val="none"/>
              <w:right w:val="none"/>
            </w:tcBorders>
            <w:shd w:val="clear" w:fill="f4f3f8"/>
            <w:tcMar>
              <w:left w:w="0" w:type="dxa"/>
              <w:top w:w="0" w:type="dxa"/>
              <w:right w:w="0" w:type="dxa"/>
              <w:bottom w:w="0" w:type="dxa"/>
            </w:tcMar>
          </w:tcPr>
          <w:p/>
        </w:tc>
      </w:tr>
    </w:tbl>
    <w:p>
      <w:pPr>
        <w:pStyle w:val="0"/>
        <w:jc w:val="both"/>
      </w:pPr>
      <w:r>
        <w:rPr>
          <w:sz w:val="24"/>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454"/>
        <w:gridCol w:w="4535"/>
        <w:gridCol w:w="2721"/>
        <w:gridCol w:w="1339"/>
      </w:tblGrid>
      <w:tr>
        <w:tc>
          <w:tcPr>
            <w:tcW w:w="454" w:type="dxa"/>
            <w:vAlign w:val="center"/>
          </w:tcPr>
          <w:p>
            <w:pPr>
              <w:pStyle w:val="0"/>
              <w:jc w:val="center"/>
            </w:pPr>
            <w:r>
              <w:rPr>
                <w:sz w:val="24"/>
              </w:rPr>
              <w:t xml:space="preserve">N п/п</w:t>
            </w:r>
          </w:p>
        </w:tc>
        <w:tc>
          <w:tcPr>
            <w:tcW w:w="7256" w:type="dxa"/>
            <w:gridSpan w:val="2"/>
            <w:vAlign w:val="center"/>
          </w:tcPr>
          <w:p>
            <w:pPr>
              <w:pStyle w:val="0"/>
              <w:jc w:val="center"/>
            </w:pPr>
            <w:r>
              <w:rPr>
                <w:sz w:val="24"/>
              </w:rPr>
              <w:t xml:space="preserve">Наименование критерия отбора</w:t>
            </w:r>
          </w:p>
        </w:tc>
        <w:tc>
          <w:tcPr>
            <w:tcW w:w="1339" w:type="dxa"/>
            <w:vAlign w:val="center"/>
          </w:tcPr>
          <w:p>
            <w:pPr>
              <w:pStyle w:val="0"/>
              <w:jc w:val="center"/>
            </w:pPr>
            <w:r>
              <w:rPr>
                <w:sz w:val="24"/>
              </w:rPr>
              <w:t xml:space="preserve">Количество баллов</w:t>
            </w:r>
          </w:p>
        </w:tc>
      </w:tr>
      <w:tr>
        <w:tc>
          <w:tcPr>
            <w:tcW w:w="454" w:type="dxa"/>
            <w:vMerge w:val="restart"/>
          </w:tcPr>
          <w:p>
            <w:pPr>
              <w:pStyle w:val="0"/>
              <w:jc w:val="center"/>
            </w:pPr>
            <w:r>
              <w:rPr>
                <w:sz w:val="24"/>
              </w:rPr>
              <w:t xml:space="preserve">1.</w:t>
            </w:r>
          </w:p>
        </w:tc>
        <w:tc>
          <w:tcPr>
            <w:tcW w:w="4535" w:type="dxa"/>
            <w:vMerge w:val="restart"/>
          </w:tcPr>
          <w:p>
            <w:pPr>
              <w:pStyle w:val="0"/>
            </w:pPr>
            <w:r>
              <w:rPr>
                <w:sz w:val="24"/>
              </w:rPr>
              <w:t xml:space="preserve">Наличие профессионального образования</w:t>
            </w:r>
          </w:p>
        </w:tc>
        <w:tc>
          <w:tcPr>
            <w:tcW w:w="2721" w:type="dxa"/>
          </w:tcPr>
          <w:p>
            <w:pPr>
              <w:pStyle w:val="0"/>
              <w:jc w:val="center"/>
            </w:pPr>
            <w:r>
              <w:rPr>
                <w:sz w:val="24"/>
              </w:rPr>
              <w:t xml:space="preserve">высшее образование</w:t>
            </w:r>
          </w:p>
        </w:tc>
        <w:tc>
          <w:tcPr>
            <w:tcW w:w="1339" w:type="dxa"/>
          </w:tcPr>
          <w:p>
            <w:pPr>
              <w:pStyle w:val="0"/>
              <w:jc w:val="center"/>
            </w:pPr>
            <w:r>
              <w:rPr>
                <w:sz w:val="24"/>
              </w:rPr>
              <w:t xml:space="preserve">2</w:t>
            </w:r>
          </w:p>
        </w:tc>
      </w:tr>
      <w:tr>
        <w:tc>
          <w:tcPr>
            <w:vMerge w:val="continue"/>
          </w:tcPr>
          <w:p/>
        </w:tc>
        <w:tc>
          <w:tcPr>
            <w:vMerge w:val="continue"/>
          </w:tcPr>
          <w:p/>
        </w:tc>
        <w:tc>
          <w:tcPr>
            <w:tcW w:w="2721" w:type="dxa"/>
          </w:tcPr>
          <w:p>
            <w:pPr>
              <w:pStyle w:val="0"/>
              <w:jc w:val="center"/>
            </w:pPr>
            <w:r>
              <w:rPr>
                <w:sz w:val="24"/>
              </w:rPr>
              <w:t xml:space="preserve">среднее профессиональное образование</w:t>
            </w:r>
          </w:p>
        </w:tc>
        <w:tc>
          <w:tcPr>
            <w:tcW w:w="1339" w:type="dxa"/>
          </w:tcPr>
          <w:p>
            <w:pPr>
              <w:pStyle w:val="0"/>
              <w:jc w:val="center"/>
            </w:pPr>
            <w:r>
              <w:rPr>
                <w:sz w:val="24"/>
              </w:rPr>
              <w:t xml:space="preserve">1</w:t>
            </w:r>
          </w:p>
        </w:tc>
      </w:tr>
      <w:tr>
        <w:tc>
          <w:tcPr>
            <w:tcW w:w="454" w:type="dxa"/>
          </w:tcPr>
          <w:p>
            <w:pPr>
              <w:pStyle w:val="0"/>
              <w:jc w:val="center"/>
            </w:pPr>
            <w:r>
              <w:rPr>
                <w:sz w:val="24"/>
              </w:rPr>
              <w:t xml:space="preserve">2.</w:t>
            </w:r>
          </w:p>
        </w:tc>
        <w:tc>
          <w:tcPr>
            <w:tcW w:w="4535" w:type="dxa"/>
          </w:tcPr>
          <w:p>
            <w:pPr>
              <w:pStyle w:val="0"/>
            </w:pPr>
            <w:r>
              <w:rPr>
                <w:sz w:val="24"/>
              </w:rPr>
              <w:t xml:space="preserve">Приоритетность преподаваемого предмета.</w:t>
            </w:r>
          </w:p>
          <w:p>
            <w:pPr>
              <w:pStyle w:val="0"/>
            </w:pPr>
            <w:r>
              <w:rPr>
                <w:sz w:val="24"/>
              </w:rPr>
              <w:t xml:space="preserve">Приоритетными предметами являются: "Физика", "Математика", "Информатика", "Химия", "Биология", "Основы безопасности и защиты Родины", "Труд (технология)" (при объеме учебной нагрузки по данному предмету не менее 18 часов в неделю за ставку заработной платы)</w:t>
            </w:r>
          </w:p>
        </w:tc>
        <w:tc>
          <w:tcPr>
            <w:tcW w:w="2721" w:type="dxa"/>
          </w:tcPr>
          <w:p>
            <w:pPr>
              <w:pStyle w:val="0"/>
              <w:jc w:val="center"/>
            </w:pPr>
            <w:r>
              <w:rPr>
                <w:sz w:val="24"/>
              </w:rPr>
              <w:t xml:space="preserve">приоритетный предмет</w:t>
            </w:r>
          </w:p>
        </w:tc>
        <w:tc>
          <w:tcPr>
            <w:tcW w:w="1339" w:type="dxa"/>
          </w:tcPr>
          <w:p>
            <w:pPr>
              <w:pStyle w:val="0"/>
              <w:jc w:val="center"/>
            </w:pPr>
            <w:r>
              <w:rPr>
                <w:sz w:val="24"/>
              </w:rPr>
              <w:t xml:space="preserve">3</w:t>
            </w:r>
          </w:p>
        </w:tc>
      </w:tr>
      <w:tr>
        <w:tc>
          <w:tcPr>
            <w:tcW w:w="454" w:type="dxa"/>
            <w:vMerge w:val="restart"/>
            <w:tcBorders>
              <w:bottom w:val="none"/>
            </w:tcBorders>
          </w:tcPr>
          <w:p>
            <w:pPr>
              <w:pStyle w:val="0"/>
              <w:jc w:val="center"/>
            </w:pPr>
            <w:r>
              <w:rPr>
                <w:sz w:val="24"/>
              </w:rPr>
              <w:t xml:space="preserve">3.</w:t>
            </w:r>
          </w:p>
        </w:tc>
        <w:tc>
          <w:tcPr>
            <w:tcW w:w="4535" w:type="dxa"/>
            <w:vMerge w:val="restart"/>
            <w:tcBorders>
              <w:bottom w:val="none"/>
            </w:tcBorders>
          </w:tcPr>
          <w:p>
            <w:pPr>
              <w:pStyle w:val="0"/>
            </w:pPr>
            <w:r>
              <w:rPr>
                <w:sz w:val="24"/>
              </w:rPr>
              <w:t xml:space="preserve">Победы и призовые места, присужденные педагогическому работнику на конкурсах (этапах конкурсов) для педагогических работников, проводимых на основании правовых актов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исполнительных органов Томской области в течение последних 3 лет, предшествующих году проведения отбора, и в год проведения отбора</w:t>
            </w:r>
          </w:p>
        </w:tc>
        <w:tc>
          <w:tcPr>
            <w:tcW w:w="2721" w:type="dxa"/>
          </w:tcPr>
          <w:p>
            <w:pPr>
              <w:pStyle w:val="0"/>
              <w:jc w:val="center"/>
            </w:pPr>
            <w:r>
              <w:rPr>
                <w:sz w:val="24"/>
              </w:rPr>
              <w:t xml:space="preserve">победитель всероссийского уровня</w:t>
            </w:r>
          </w:p>
        </w:tc>
        <w:tc>
          <w:tcPr>
            <w:tcW w:w="1339" w:type="dxa"/>
          </w:tcPr>
          <w:p>
            <w:pPr>
              <w:pStyle w:val="0"/>
              <w:jc w:val="center"/>
            </w:pPr>
            <w:r>
              <w:rPr>
                <w:sz w:val="24"/>
              </w:rPr>
              <w:t xml:space="preserve">3</w:t>
            </w:r>
          </w:p>
        </w:tc>
      </w:tr>
      <w:tr>
        <w:tc>
          <w:tcPr>
            <w:vMerge w:val="continue"/>
            <w:tcBorders>
              <w:bottom w:val="none"/>
            </w:tcBorders>
          </w:tcPr>
          <w:p/>
        </w:tc>
        <w:tc>
          <w:tcPr>
            <w:vMerge w:val="continue"/>
            <w:tcBorders>
              <w:bottom w:val="none"/>
            </w:tcBorders>
          </w:tcPr>
          <w:p/>
        </w:tc>
        <w:tc>
          <w:tcPr>
            <w:tcW w:w="2721" w:type="dxa"/>
          </w:tcPr>
          <w:p>
            <w:pPr>
              <w:pStyle w:val="0"/>
              <w:jc w:val="center"/>
            </w:pPr>
            <w:r>
              <w:rPr>
                <w:sz w:val="24"/>
              </w:rPr>
              <w:t xml:space="preserve">победитель регионального этапа, победитель регионального уровня, призер всероссийского уровня</w:t>
            </w:r>
          </w:p>
        </w:tc>
        <w:tc>
          <w:tcPr>
            <w:tcW w:w="1339" w:type="dxa"/>
          </w:tcPr>
          <w:p>
            <w:pPr>
              <w:pStyle w:val="0"/>
              <w:jc w:val="center"/>
            </w:pPr>
            <w:r>
              <w:rPr>
                <w:sz w:val="24"/>
              </w:rPr>
              <w:t xml:space="preserve">2</w:t>
            </w:r>
          </w:p>
        </w:tc>
      </w:tr>
      <w:tr>
        <w:tc>
          <w:tcPr>
            <w:vMerge w:val="continue"/>
            <w:tcBorders>
              <w:bottom w:val="none"/>
            </w:tcBorders>
          </w:tcPr>
          <w:p/>
        </w:tc>
        <w:tc>
          <w:tcPr>
            <w:vMerge w:val="continue"/>
            <w:tcBorders>
              <w:bottom w:val="none"/>
            </w:tcBorders>
          </w:tcPr>
          <w:p/>
        </w:tc>
        <w:tc>
          <w:tcPr>
            <w:tcW w:w="2721" w:type="dxa"/>
            <w:tcBorders>
              <w:bottom w:val="none"/>
            </w:tcBorders>
          </w:tcPr>
          <w:p>
            <w:pPr>
              <w:pStyle w:val="0"/>
              <w:jc w:val="center"/>
            </w:pPr>
            <w:r>
              <w:rPr>
                <w:sz w:val="24"/>
              </w:rPr>
              <w:t xml:space="preserve">призер регионального этапа, призер регионального уровня</w:t>
            </w:r>
          </w:p>
        </w:tc>
        <w:tc>
          <w:tcPr>
            <w:tcW w:w="1339" w:type="dxa"/>
            <w:tcBorders>
              <w:bottom w:val="none"/>
            </w:tcBorders>
          </w:tcPr>
          <w:p>
            <w:pPr>
              <w:pStyle w:val="0"/>
              <w:jc w:val="center"/>
            </w:pPr>
            <w:r>
              <w:rPr>
                <w:sz w:val="24"/>
              </w:rPr>
              <w:t xml:space="preserve">1</w:t>
            </w:r>
          </w:p>
        </w:tc>
      </w:tr>
      <w:tr>
        <w:tc>
          <w:tcPr>
            <w:tcW w:w="9049" w:type="dxa"/>
            <w:gridSpan w:val="4"/>
            <w:tcBorders>
              <w:top w:val="none"/>
            </w:tcBorders>
          </w:tcPr>
          <w:p>
            <w:pPr>
              <w:pStyle w:val="0"/>
              <w:jc w:val="both"/>
            </w:pPr>
            <w:r>
              <w:rPr>
                <w:sz w:val="24"/>
              </w:rPr>
              <w:t xml:space="preserve">(в ред. </w:t>
            </w:r>
            <w:r>
              <w:rPr>
                <w:sz w:val="24"/>
              </w:rPr>
              <w:t xml:space="preserve">постановления</w:t>
            </w:r>
            <w:r>
              <w:rPr>
                <w:sz w:val="24"/>
              </w:rPr>
              <w:t xml:space="preserve"> Администрации Томской области от 26.03.2026 N 108а)</w:t>
            </w:r>
          </w:p>
        </w:tc>
      </w:tr>
      <w:tr>
        <w:tc>
          <w:tcPr>
            <w:tcW w:w="454" w:type="dxa"/>
            <w:vMerge w:val="restart"/>
          </w:tcPr>
          <w:p>
            <w:pPr>
              <w:pStyle w:val="0"/>
              <w:jc w:val="center"/>
            </w:pPr>
            <w:r>
              <w:rPr>
                <w:sz w:val="24"/>
              </w:rPr>
              <w:t xml:space="preserve">4.</w:t>
            </w:r>
          </w:p>
        </w:tc>
        <w:tc>
          <w:tcPr>
            <w:tcW w:w="4535" w:type="dxa"/>
            <w:vMerge w:val="restart"/>
          </w:tcPr>
          <w:p>
            <w:pPr>
              <w:pStyle w:val="0"/>
            </w:pPr>
            <w:r>
              <w:rPr>
                <w:sz w:val="24"/>
              </w:rPr>
              <w:t xml:space="preserve">Полученные педагогическим работником в течение последних 3 лет, предшествующих году проведения отбора, и в год проведения отбора награды, почетные грамоты, благодарности федеральных органов государственной власти, органов государственной власти субъектов Российской Федерации, органов местного самоуправления</w:t>
            </w:r>
          </w:p>
        </w:tc>
        <w:tc>
          <w:tcPr>
            <w:tcW w:w="2721" w:type="dxa"/>
          </w:tcPr>
          <w:p>
            <w:pPr>
              <w:pStyle w:val="0"/>
              <w:jc w:val="center"/>
            </w:pPr>
            <w:r>
              <w:rPr>
                <w:sz w:val="24"/>
              </w:rPr>
              <w:t xml:space="preserve">федеральный уровень</w:t>
            </w:r>
          </w:p>
        </w:tc>
        <w:tc>
          <w:tcPr>
            <w:tcW w:w="1339" w:type="dxa"/>
          </w:tcPr>
          <w:p>
            <w:pPr>
              <w:pStyle w:val="0"/>
              <w:jc w:val="center"/>
            </w:pPr>
            <w:r>
              <w:rPr>
                <w:sz w:val="24"/>
              </w:rPr>
              <w:t xml:space="preserve">3</w:t>
            </w:r>
          </w:p>
        </w:tc>
      </w:tr>
      <w:tr>
        <w:tc>
          <w:tcPr>
            <w:vMerge w:val="continue"/>
          </w:tcPr>
          <w:p/>
        </w:tc>
        <w:tc>
          <w:tcPr>
            <w:vMerge w:val="continue"/>
          </w:tcPr>
          <w:p/>
        </w:tc>
        <w:tc>
          <w:tcPr>
            <w:tcW w:w="2721" w:type="dxa"/>
          </w:tcPr>
          <w:p>
            <w:pPr>
              <w:pStyle w:val="0"/>
              <w:jc w:val="center"/>
            </w:pPr>
            <w:r>
              <w:rPr>
                <w:sz w:val="24"/>
              </w:rPr>
              <w:t xml:space="preserve">региональный уровень</w:t>
            </w:r>
          </w:p>
        </w:tc>
        <w:tc>
          <w:tcPr>
            <w:tcW w:w="1339" w:type="dxa"/>
          </w:tcPr>
          <w:p>
            <w:pPr>
              <w:pStyle w:val="0"/>
              <w:jc w:val="center"/>
            </w:pPr>
            <w:r>
              <w:rPr>
                <w:sz w:val="24"/>
              </w:rPr>
              <w:t xml:space="preserve">2</w:t>
            </w:r>
          </w:p>
        </w:tc>
      </w:tr>
      <w:tr>
        <w:tc>
          <w:tcPr>
            <w:vMerge w:val="continue"/>
          </w:tcPr>
          <w:p/>
        </w:tc>
        <w:tc>
          <w:tcPr>
            <w:vMerge w:val="continue"/>
          </w:tcPr>
          <w:p/>
        </w:tc>
        <w:tc>
          <w:tcPr>
            <w:tcW w:w="2721" w:type="dxa"/>
          </w:tcPr>
          <w:p>
            <w:pPr>
              <w:pStyle w:val="0"/>
              <w:jc w:val="center"/>
            </w:pPr>
            <w:r>
              <w:rPr>
                <w:sz w:val="24"/>
              </w:rPr>
              <w:t xml:space="preserve">муниципальный уровень</w:t>
            </w:r>
          </w:p>
        </w:tc>
        <w:tc>
          <w:tcPr>
            <w:tcW w:w="1339" w:type="dxa"/>
          </w:tcPr>
          <w:p>
            <w:pPr>
              <w:pStyle w:val="0"/>
              <w:jc w:val="center"/>
            </w:pPr>
            <w:r>
              <w:rPr>
                <w:sz w:val="24"/>
              </w:rPr>
              <w:t xml:space="preserve">1</w:t>
            </w:r>
          </w:p>
        </w:tc>
      </w:tr>
      <w:tr>
        <w:tc>
          <w:tcPr>
            <w:tcW w:w="454" w:type="dxa"/>
            <w:vMerge w:val="restart"/>
            <w:tcBorders>
              <w:bottom w:val="none"/>
            </w:tcBorders>
          </w:tcPr>
          <w:p>
            <w:pPr>
              <w:pStyle w:val="0"/>
              <w:jc w:val="center"/>
            </w:pPr>
            <w:r>
              <w:rPr>
                <w:sz w:val="24"/>
              </w:rPr>
              <w:t xml:space="preserve">5.</w:t>
            </w:r>
          </w:p>
        </w:tc>
        <w:tc>
          <w:tcPr>
            <w:tcW w:w="4535" w:type="dxa"/>
            <w:vMerge w:val="restart"/>
            <w:tcBorders>
              <w:bottom w:val="none"/>
            </w:tcBorders>
          </w:tcPr>
          <w:p>
            <w:pPr>
              <w:pStyle w:val="0"/>
            </w:pPr>
            <w:r>
              <w:rPr>
                <w:sz w:val="24"/>
              </w:rPr>
              <w:t xml:space="preserve">Результаты учебных достижений обучающихся по предметам, преподаваемым им педагогическим работником в течение последних 3 лет, предшествующих году проведения отбора, и в год проведения отбора:</w:t>
            </w:r>
          </w:p>
          <w:p>
            <w:pPr>
              <w:pStyle w:val="0"/>
            </w:pPr>
            <w:r>
              <w:rPr>
                <w:sz w:val="24"/>
              </w:rPr>
              <w:t xml:space="preserve">наличие обучающихся, являющихся победителями и призерами конкурсов, конференций и олимпиад соревнований, чемпионатов, иных мероприятий (их этапов), входящих в перечни, утвержденные Министерством просвещения Российской Федерации, Министерством науки и высшего образования Российской Федерации, а также проводимых на основании правовых актов исполнительных органов Томской области</w:t>
            </w:r>
          </w:p>
        </w:tc>
        <w:tc>
          <w:tcPr>
            <w:tcW w:w="2721" w:type="dxa"/>
          </w:tcPr>
          <w:p>
            <w:pPr>
              <w:pStyle w:val="0"/>
              <w:jc w:val="center"/>
            </w:pPr>
            <w:r>
              <w:rPr>
                <w:sz w:val="24"/>
              </w:rPr>
              <w:t xml:space="preserve">всероссийский уровень</w:t>
            </w:r>
          </w:p>
        </w:tc>
        <w:tc>
          <w:tcPr>
            <w:tcW w:w="1339" w:type="dxa"/>
          </w:tcPr>
          <w:p>
            <w:pPr>
              <w:pStyle w:val="0"/>
              <w:jc w:val="center"/>
            </w:pPr>
            <w:r>
              <w:rPr>
                <w:sz w:val="24"/>
              </w:rPr>
              <w:t xml:space="preserve">3</w:t>
            </w:r>
          </w:p>
        </w:tc>
      </w:tr>
      <w:tr>
        <w:tc>
          <w:tcPr>
            <w:vMerge w:val="continue"/>
            <w:tcBorders>
              <w:bottom w:val="none"/>
            </w:tcBorders>
          </w:tcPr>
          <w:p/>
        </w:tc>
        <w:tc>
          <w:tcPr>
            <w:vMerge w:val="continue"/>
            <w:tcBorders>
              <w:bottom w:val="none"/>
            </w:tcBorders>
          </w:tcPr>
          <w:p/>
        </w:tc>
        <w:tc>
          <w:tcPr>
            <w:tcW w:w="2721" w:type="dxa"/>
          </w:tcPr>
          <w:p>
            <w:pPr>
              <w:pStyle w:val="0"/>
              <w:jc w:val="center"/>
            </w:pPr>
            <w:r>
              <w:rPr>
                <w:sz w:val="24"/>
              </w:rPr>
              <w:t xml:space="preserve">региональный уровень</w:t>
            </w:r>
          </w:p>
        </w:tc>
        <w:tc>
          <w:tcPr>
            <w:tcW w:w="1339" w:type="dxa"/>
          </w:tcPr>
          <w:p>
            <w:pPr>
              <w:pStyle w:val="0"/>
              <w:jc w:val="center"/>
            </w:pPr>
            <w:r>
              <w:rPr>
                <w:sz w:val="24"/>
              </w:rPr>
              <w:t xml:space="preserve">2</w:t>
            </w:r>
          </w:p>
        </w:tc>
      </w:tr>
      <w:tr>
        <w:tc>
          <w:tcPr>
            <w:vMerge w:val="continue"/>
            <w:tcBorders>
              <w:bottom w:val="none"/>
            </w:tcBorders>
          </w:tcPr>
          <w:p/>
        </w:tc>
        <w:tc>
          <w:tcPr>
            <w:vMerge w:val="continue"/>
            <w:tcBorders>
              <w:bottom w:val="none"/>
            </w:tcBorders>
          </w:tcPr>
          <w:p/>
        </w:tc>
        <w:tc>
          <w:tcPr>
            <w:tcW w:w="2721" w:type="dxa"/>
            <w:tcBorders>
              <w:bottom w:val="none"/>
            </w:tcBorders>
          </w:tcPr>
          <w:p>
            <w:pPr>
              <w:pStyle w:val="0"/>
              <w:jc w:val="center"/>
            </w:pPr>
            <w:r>
              <w:rPr>
                <w:sz w:val="24"/>
              </w:rPr>
              <w:t xml:space="preserve">муниципальный уровень</w:t>
            </w:r>
          </w:p>
        </w:tc>
        <w:tc>
          <w:tcPr>
            <w:tcW w:w="1339" w:type="dxa"/>
            <w:tcBorders>
              <w:bottom w:val="none"/>
            </w:tcBorders>
          </w:tcPr>
          <w:p>
            <w:pPr>
              <w:pStyle w:val="0"/>
              <w:jc w:val="center"/>
            </w:pPr>
            <w:r>
              <w:rPr>
                <w:sz w:val="24"/>
              </w:rPr>
              <w:t xml:space="preserve">1</w:t>
            </w:r>
          </w:p>
        </w:tc>
      </w:tr>
      <w:tr>
        <w:tc>
          <w:tcPr>
            <w:tcW w:w="9049" w:type="dxa"/>
            <w:gridSpan w:val="4"/>
            <w:tcBorders>
              <w:top w:val="none"/>
            </w:tcBorders>
          </w:tcPr>
          <w:p>
            <w:pPr>
              <w:pStyle w:val="0"/>
              <w:jc w:val="both"/>
            </w:pPr>
            <w:r>
              <w:rPr>
                <w:sz w:val="24"/>
              </w:rPr>
              <w:t xml:space="preserve">(в ред. </w:t>
            </w:r>
            <w:r>
              <w:rPr>
                <w:sz w:val="24"/>
              </w:rPr>
              <w:t xml:space="preserve">постановления</w:t>
            </w:r>
            <w:r>
              <w:rPr>
                <w:sz w:val="24"/>
              </w:rPr>
              <w:t xml:space="preserve"> Администрации Томской области от 26.03.2026 N 108а)</w:t>
            </w:r>
          </w:p>
        </w:tc>
      </w:tr>
      <w:tr>
        <w:tc>
          <w:tcPr>
            <w:tcW w:w="454" w:type="dxa"/>
          </w:tcPr>
          <w:bookmarkStart w:id="181" w:name="P181"/>
          <w:bookmarkEnd w:id="181"/>
          <w:p>
            <w:pPr>
              <w:pStyle w:val="0"/>
              <w:jc w:val="center"/>
            </w:pPr>
            <w:r>
              <w:rPr>
                <w:sz w:val="24"/>
              </w:rPr>
              <w:t xml:space="preserve">6.</w:t>
            </w:r>
          </w:p>
        </w:tc>
        <w:tc>
          <w:tcPr>
            <w:tcW w:w="4535" w:type="dxa"/>
            <w:vAlign w:val="center"/>
          </w:tcPr>
          <w:p>
            <w:pPr>
              <w:pStyle w:val="0"/>
            </w:pPr>
            <w:r>
              <w:rPr>
                <w:sz w:val="24"/>
              </w:rPr>
              <w:t xml:space="preserve">Результаты деятельности педагогического работника по освоению обучающимися образовательных программ по предмету(ам), преподаваемому(ым) педагогическим работником:</w:t>
            </w:r>
          </w:p>
        </w:tc>
        <w:tc>
          <w:tcPr>
            <w:tcW w:w="2721" w:type="dxa"/>
          </w:tcPr>
          <w:p>
            <w:pPr>
              <w:pStyle w:val="0"/>
            </w:pPr>
            <w:r>
              <w:rPr>
                <w:sz w:val="24"/>
              </w:rPr>
            </w:r>
          </w:p>
        </w:tc>
        <w:tc>
          <w:tcPr>
            <w:tcW w:w="1339" w:type="dxa"/>
          </w:tcPr>
          <w:p>
            <w:pPr>
              <w:pStyle w:val="0"/>
            </w:pPr>
            <w:r>
              <w:rPr>
                <w:sz w:val="24"/>
              </w:rPr>
            </w:r>
          </w:p>
        </w:tc>
      </w:tr>
      <w:tr>
        <w:tc>
          <w:tcPr>
            <w:tcW w:w="454" w:type="dxa"/>
          </w:tcPr>
          <w:p>
            <w:pPr>
              <w:pStyle w:val="0"/>
            </w:pPr>
            <w:r>
              <w:rPr>
                <w:sz w:val="24"/>
              </w:rPr>
            </w:r>
          </w:p>
        </w:tc>
        <w:tc>
          <w:tcPr>
            <w:tcW w:w="4535" w:type="dxa"/>
            <w:vAlign w:val="center"/>
          </w:tcPr>
          <w:p>
            <w:pPr>
              <w:pStyle w:val="0"/>
            </w:pPr>
            <w:r>
              <w:rPr>
                <w:sz w:val="24"/>
              </w:rPr>
              <w:t xml:space="preserve">результаты государственной итоговой аттестации по образовательным программам основного общего, среднего общего образования (далее - ГИА), всероссийских проверочных работ (далее - ВПР) (за один год из последних 3 лет, предшествующих году проведения отбора, по выбору педагогического работника)</w:t>
            </w:r>
          </w:p>
        </w:tc>
        <w:tc>
          <w:tcPr>
            <w:tcW w:w="2721" w:type="dxa"/>
          </w:tcPr>
          <w:p>
            <w:pPr>
              <w:pStyle w:val="0"/>
              <w:jc w:val="center"/>
            </w:pPr>
            <w:r>
              <w:rPr>
                <w:sz w:val="24"/>
              </w:rPr>
              <w:t xml:space="preserve">выше средних показателей по Томской области</w:t>
            </w:r>
          </w:p>
        </w:tc>
        <w:tc>
          <w:tcPr>
            <w:tcW w:w="1339" w:type="dxa"/>
          </w:tcPr>
          <w:p>
            <w:pPr>
              <w:pStyle w:val="0"/>
              <w:jc w:val="center"/>
            </w:pPr>
            <w:r>
              <w:rPr>
                <w:sz w:val="24"/>
              </w:rPr>
              <w:t xml:space="preserve">2</w:t>
            </w:r>
          </w:p>
        </w:tc>
      </w:tr>
      <w:tr>
        <w:tc>
          <w:tcPr>
            <w:tcW w:w="454" w:type="dxa"/>
            <w:tcBorders>
              <w:bottom w:val="none"/>
            </w:tcBorders>
          </w:tcPr>
          <w:p>
            <w:pPr>
              <w:pStyle w:val="0"/>
            </w:pPr>
            <w:r>
              <w:rPr>
                <w:sz w:val="24"/>
              </w:rPr>
            </w:r>
          </w:p>
        </w:tc>
        <w:tc>
          <w:tcPr>
            <w:tcW w:w="4535" w:type="dxa"/>
            <w:tcBorders>
              <w:bottom w:val="none"/>
            </w:tcBorders>
            <w:vAlign w:val="center"/>
          </w:tcPr>
          <w:p>
            <w:pPr>
              <w:pStyle w:val="0"/>
            </w:pPr>
            <w:r>
              <w:rPr>
                <w:sz w:val="24"/>
              </w:rPr>
              <w:t xml:space="preserve">результаты качественной успеваемости по учебному предмету в течение последних 3 лет, предшествующих году проведения отбора</w:t>
            </w:r>
          </w:p>
        </w:tc>
        <w:tc>
          <w:tcPr>
            <w:tcW w:w="2721" w:type="dxa"/>
            <w:tcBorders>
              <w:bottom w:val="none"/>
            </w:tcBorders>
          </w:tcPr>
          <w:p>
            <w:pPr>
              <w:pStyle w:val="0"/>
              <w:jc w:val="center"/>
            </w:pPr>
            <w:r>
              <w:rPr>
                <w:sz w:val="24"/>
              </w:rPr>
              <w:t xml:space="preserve">положительная динамика</w:t>
            </w:r>
          </w:p>
        </w:tc>
        <w:tc>
          <w:tcPr>
            <w:tcW w:w="1339" w:type="dxa"/>
            <w:tcBorders>
              <w:bottom w:val="none"/>
            </w:tcBorders>
          </w:tcPr>
          <w:p>
            <w:pPr>
              <w:pStyle w:val="0"/>
              <w:jc w:val="center"/>
            </w:pPr>
            <w:r>
              <w:rPr>
                <w:sz w:val="24"/>
              </w:rPr>
              <w:t xml:space="preserve">2</w:t>
            </w:r>
          </w:p>
        </w:tc>
      </w:tr>
      <w:tr>
        <w:tc>
          <w:tcPr>
            <w:tcW w:w="9049" w:type="dxa"/>
            <w:gridSpan w:val="4"/>
            <w:tcBorders>
              <w:top w:val="none"/>
            </w:tcBorders>
          </w:tcPr>
          <w:p>
            <w:pPr>
              <w:pStyle w:val="0"/>
              <w:jc w:val="both"/>
            </w:pPr>
            <w:r>
              <w:rPr>
                <w:sz w:val="24"/>
              </w:rPr>
              <w:t xml:space="preserve">(п. 6 в ред. </w:t>
            </w:r>
            <w:r>
              <w:rPr>
                <w:sz w:val="24"/>
              </w:rPr>
              <w:t xml:space="preserve">постановления</w:t>
            </w:r>
            <w:r>
              <w:rPr>
                <w:sz w:val="24"/>
              </w:rPr>
              <w:t xml:space="preserve"> Администрации Томской области от 26.03.2026 N 108а)</w:t>
            </w:r>
          </w:p>
        </w:tc>
      </w:tr>
    </w:tbl>
    <w:p>
      <w:pPr>
        <w:pStyle w:val="0"/>
        <w:jc w:val="both"/>
      </w:pPr>
      <w:r>
        <w:rPr>
          <w:sz w:val="24"/>
        </w:rPr>
      </w:r>
    </w:p>
    <w:p>
      <w:pPr>
        <w:pStyle w:val="0"/>
        <w:ind w:firstLine="540"/>
        <w:jc w:val="both"/>
      </w:pPr>
      <w:r>
        <w:rPr>
          <w:sz w:val="24"/>
        </w:rPr>
        <w:t xml:space="preserve">Примечание:</w:t>
      </w:r>
    </w:p>
    <w:p>
      <w:pPr>
        <w:pStyle w:val="0"/>
        <w:spacing w:before="240"/>
        <w:ind w:firstLine="540"/>
        <w:jc w:val="both"/>
      </w:pPr>
      <w:r>
        <w:rPr>
          <w:sz w:val="24"/>
        </w:rPr>
        <w:t xml:space="preserve">1. При наличии у участника отбора нескольких побед (призовых мест), присужденных педагогическому работнику на конкурсах (этапах конкурсов) на разных уровнях (этапах), баллы присваиваются один раз за победы (призовые места) на наивысшем уровне (вне зависимости от количества побед (призовых мест). При наличии у участника отбора нескольких побед (призовых мест), присужденных педагогическому работнику на конкурсах (этапах конкурсов) на одном уровне (этапе), при выставлении баллов количество побед (призовых мест) не суммируется.</w:t>
      </w:r>
    </w:p>
    <w:p>
      <w:pPr>
        <w:pStyle w:val="0"/>
        <w:spacing w:before="240"/>
        <w:ind w:firstLine="540"/>
        <w:jc w:val="both"/>
      </w:pPr>
      <w:r>
        <w:rPr>
          <w:sz w:val="24"/>
        </w:rPr>
        <w:t xml:space="preserve">2. При наличии у педагогического работника нескольких наград, почетных грамот, благодарностей федеральных органов государственной власти, органов государственной власти субъектов Российской Федерации, органов местного самоуправления при выставлении баллов учитывается одна из наград, почетных грамот, благодарностей на наивысшем уровне. При наличии у педагогического работника нескольких наград, почетных грамот, благодарностей федеральных органов государственной власти, органов государственной власти субъектов Российской Федерации, органов местного самоуправления на одном уровне при выставлении баллов количество наград, почетных грамот, благодарностей не суммируется.</w:t>
      </w:r>
    </w:p>
    <w:p>
      <w:pPr>
        <w:pStyle w:val="0"/>
        <w:spacing w:before="240"/>
        <w:ind w:firstLine="540"/>
        <w:jc w:val="both"/>
      </w:pPr>
      <w:r>
        <w:rPr>
          <w:sz w:val="24"/>
        </w:rPr>
        <w:t xml:space="preserve">3. При наличии обучающихся (вне зависимости от количества обучающихся), являющихся победителями, призерами конкурсов, конференций, олимпиад, соревнований, чемпионатов, иных мероприятий (их этапов), входящих в перечни, утвержденные Министерством просвещения Российской Федерации, Министерством науки и высшего образования Российской Федерации, а также проводимых на основании правовых актов исполнительных органов Томской области (далее - победители, призеры), баллы присваиваются один раз за победы (призовые места) на наивысшем уровне. При наличии нескольких победителей, призеров на нескольких уровнях, а также на наивысшем уровне баллы не суммируются.</w:t>
      </w:r>
    </w:p>
    <w:p>
      <w:pPr>
        <w:pStyle w:val="0"/>
        <w:spacing w:before="240"/>
        <w:ind w:firstLine="540"/>
        <w:jc w:val="both"/>
      </w:pPr>
      <w:r>
        <w:rPr>
          <w:sz w:val="24"/>
        </w:rPr>
        <w:t xml:space="preserve">4. По критерию, указанному в </w:t>
      </w:r>
      <w:hyperlink w:tooltip="6." w:anchor="P181" w:history="0">
        <w:r>
          <w:rPr>
            <w:color w:val="0000ff"/>
            <w:sz w:val="24"/>
          </w:rPr>
          <w:t xml:space="preserve">пункте 6</w:t>
        </w:r>
      </w:hyperlink>
      <w:r>
        <w:rPr>
          <w:sz w:val="24"/>
        </w:rPr>
        <w:t xml:space="preserve">, учитываются результаты ГИА, ВПР (при их наличии) либо результаты качественной успеваемости по учебному предмету, подтверждающие рост их значений или стабильно высокие результаты (90 - 100 процентов) качественной успеваемости по учебному предмету в течение последних 3 лет, предшествующих году проведения отбора (при отсутствии результатов ГИА, ВПР).</w:t>
      </w:r>
    </w:p>
    <w:p>
      <w:pPr>
        <w:pStyle w:val="0"/>
        <w:spacing w:before="240"/>
        <w:ind w:firstLine="540"/>
        <w:jc w:val="both"/>
      </w:pPr>
      <w:r>
        <w:rPr>
          <w:sz w:val="24"/>
        </w:rPr>
        <w:t xml:space="preserve">Под результатами качественной успеваемости по учебному предмету в течение последних 3 лет, предшествующих году проведения отбора, понимается положительная динамика доли (процента) обучающихся, которые освоили учебный предмет (часть учебного предмета) на оценки "хорошо" и "отлично" от общего числа обучающихся, освоивших учебный предмет (часть учебного предмета) в учебном году.</w:t>
      </w:r>
    </w:p>
    <w:p>
      <w:pPr>
        <w:pStyle w:val="0"/>
        <w:jc w:val="both"/>
      </w:pPr>
      <w:r>
        <w:rPr>
          <w:sz w:val="24"/>
        </w:rPr>
        <w:t xml:space="preserve">(Примечание введено </w:t>
      </w:r>
      <w:r>
        <w:rPr>
          <w:sz w:val="24"/>
        </w:rPr>
        <w:t xml:space="preserve">постановлением</w:t>
      </w:r>
      <w:r>
        <w:rPr>
          <w:sz w:val="24"/>
        </w:rPr>
        <w:t xml:space="preserve"> Администрации Томской области от 26.03.2026 N 108а)</w:t>
      </w:r>
    </w:p>
    <w:p>
      <w:pPr>
        <w:pStyle w:val="0"/>
        <w:jc w:val="both"/>
      </w:pPr>
      <w:r>
        <w:rPr>
          <w:sz w:val="24"/>
        </w:rPr>
      </w:r>
    </w:p>
    <w:p>
      <w:pPr>
        <w:pStyle w:val="0"/>
        <w:jc w:val="both"/>
      </w:pPr>
      <w:r>
        <w:rPr>
          <w:sz w:val="24"/>
        </w:rPr>
      </w:r>
    </w:p>
    <w:p>
      <w:pPr>
        <w:pStyle w:val="0"/>
        <w:pBdr>
          <w:bottom w:val="single" w:color="auto" w:sz="6" w:space="0"/>
        </w:pBdr>
        <w:spacing w:before="100" w:after="100"/>
        <w:jc w:val="both"/>
        <w:rPr>
          <w:sz w:val="2"/>
          <w:szCs w:val="2"/>
        </w:rPr>
      </w:pPr>
    </w:p>
    <w:sectPr>
      <w:headerReference w:type="default" r:id="rId6"/>
      <w:headerReference w:type="first" r:id="rId7"/>
      <w:footerReference w:type="default" r:id="rId8"/>
      <w:footerReference w:type="first" r:id="rId9"/>
      <w:pgSz w:w="11906" w:h="16838"/>
      <w:pgMar w:top="1440" w:right="566" w:bottom="1440" w:left="1133" w:header="0" w:footer="0" w:gutter="0"/>
      <w:cols w:space="708"/>
      <w:docGrid w:linePitch="36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Courier New">
    <w:panose1 w:val="020703090202050204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12" w:space="0"/>
      </w:pBdr>
      <w:rPr>
        <w:sz w:val="2"/>
        <w:szCs w:val="2"/>
      </w:rPr>
    </w:pPr>
  </w:p>
  <w:tbl>
    <w:tblPr>
      <w:tblW w:w="5000" w:type="pct"/>
      <w:tblInd w:w="0" w:type="dxa"/>
      <w:tblCellMar>
        <w:left w:w="40" w:type="dxa"/>
        <w:right w:w="40" w:type="dxa"/>
      </w:tblCellMar>
      <w:tblLook w:val="0000" w:firstRow="0" w:lastRow="0" w:firstColumn="0" w:lastColumn="0" w:noHBand="0" w:noVBand="0"/>
    </w:tblPr>
    <w:tblGrid>
      <w:gridCol w:w="1"/>
      <w:gridCol w:w="1"/>
      <w:gridCol w:w="1"/>
    </w:tblGrid>
    <w:tr>
      <w:trPr>
        <w:trHeight w:val="1663" w:hRule="exact"/>
      </w:trPr>
      <w:tc>
        <w:tcPr>
          <w:tcW w:w="1650" w:type="pct"/>
          <w:vAlign w:val="center"/>
        </w:tcPr>
        <w:p>
          <w:r>
            <w:rPr>
              <w:rFonts w:ascii="Tahoma" w:hAnsi="Tahoma" w:cs="Tahoma"/>
              <w:b/>
              <w:color w:val="f58220"/>
              <w:sz w:val="28"/>
              <w:szCs w:val="28"/>
            </w:rPr>
            <w:t xml:space="preserve">КонсультантПлюс</w:t>
          </w:r>
          <w:r>
            <w:rPr>
              <w:rFonts w:ascii="Tahoma" w:hAnsi="Tahoma" w:cs="Tahoma"/>
              <w:b/>
              <w:sz w:val="16"/>
              <w:szCs w:val="16"/>
            </w:rPr>
            <w:br/>
            <w:t xml:space="preserve">надежная правовая поддержка</w:t>
          </w:r>
        </w:p>
      </w:tc>
      <w:tc>
        <w:tcPr>
          <w:tcW w:w="1700" w:type="pct"/>
          <w:vAlign w:val="center"/>
        </w:tcPr>
        <w:p>
          <w:pPr>
            <w:jc w:val="center"/>
          </w:pPr>
          <w:hyperlink r:id="rId1" w:history="0">
            <w:r>
              <w:rPr>
                <w:rFonts w:ascii="Tahoma" w:hAnsi="Tahoma" w:cs="Tahoma"/>
                <w:b/>
                <w:color w:val="0000ff"/>
              </w:rPr>
              <w:t xml:space="preserve">www.consultant.ru</w:t>
            </w:r>
          </w:hyperlink>
        </w:p>
      </w:tc>
      <w:tc>
        <w:tcPr>
          <w:tcW w:w="1650" w:type="pct"/>
          <w:vAlign w:val="center"/>
        </w:tcPr>
        <w:p>
          <w:pPr>
            <w:jc w:val="right"/>
          </w:pPr>
          <w:r>
            <w:rPr>
              <w:rFonts w:ascii="Tahoma" w:hAnsi="Tahoma" w:cs="Tahoma"/>
            </w:rPr>
            <w:t xml:space="preserve">Страница </w:t>
          </w:r>
          <w:r>
            <w:fldChar w:fldCharType="begin"/>
          </w:r>
          <w:r>
            <w:rPr>
              <w:rFonts w:ascii="Tahoma" w:hAnsi="Tahoma" w:cs="Tahoma"/>
            </w:rPr>
            <w:instrText xml:space="preserve">PAGE</w:instrText>
          </w:r>
          <w:r>
            <w:fldChar w:fldCharType="separate"/>
          </w:r>
          <w:r>
            <w:rPr>
              <w:rFonts w:ascii="Tahoma" w:hAnsi="Tahoma" w:cs="Tahoma"/>
            </w:rPr>
            <w:t xml:space="preserve">5</w:t>
          </w:r>
          <w:r>
            <w:fldChar w:fldCharType="end"/>
          </w:r>
          <w:r>
            <w:rPr>
              <w:rFonts w:ascii="Tahoma" w:hAnsi="Tahoma" w:cs="Tahoma"/>
            </w:rPr>
            <w:t xml:space="preserve"> из </w:t>
          </w:r>
          <w:r>
            <w:fldChar w:fldCharType="begin"/>
          </w:r>
          <w:r>
            <w:rPr>
              <w:rFonts w:ascii="Tahoma" w:hAnsi="Tahoma" w:cs="Tahoma"/>
            </w:rPr>
            <w:instrText xml:space="preserve">NUMPAGES</w:instrText>
          </w:r>
          <w:r>
            <w:fldChar w:fldCharType="separate"/>
          </w:r>
          <w:r>
            <w:rPr>
              <w:rFonts w:ascii="Tahoma" w:hAnsi="Tahoma" w:cs="Tahoma"/>
            </w:rPr>
            <w:t xml:space="preserve">5</w:t>
          </w:r>
          <w:r>
            <w:fldChar w:fldCharType="end"/>
          </w:r>
        </w:p>
      </w:tc>
    </w:tr>
  </w:tbl>
  <w:p>
    <w:r>
      <w:rPr>
        <w:sz w:val="2"/>
        <w:szCs w:val="2"/>
      </w:rPr>
      <w:t xml:space="preserve">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12" w:space="0"/>
      </w:pBdr>
      <w:rPr>
        <w:sz w:val="2"/>
        <w:szCs w:val="2"/>
      </w:rPr>
    </w:pPr>
  </w:p>
  <w:tbl>
    <w:tblPr>
      <w:tblW w:w="5000" w:type="pct"/>
      <w:tblInd w:w="0" w:type="dxa"/>
      <w:tblCellMar>
        <w:left w:w="40" w:type="dxa"/>
        <w:right w:w="40" w:type="dxa"/>
      </w:tblCellMar>
      <w:tblLook w:val="0000" w:firstRow="0" w:lastRow="0" w:firstColumn="0" w:lastColumn="0" w:noHBand="0" w:noVBand="0"/>
    </w:tblPr>
    <w:tblGrid>
      <w:gridCol w:w="1"/>
      <w:gridCol w:w="1"/>
      <w:gridCol w:w="1"/>
    </w:tblGrid>
    <w:tr>
      <w:trPr>
        <w:trHeight w:val="1663" w:hRule="exact"/>
      </w:trPr>
      <w:tc>
        <w:tcPr>
          <w:tcW w:w="1650" w:type="pct"/>
          <w:vAlign w:val="center"/>
        </w:tcPr>
        <w:p>
          <w:r>
            <w:rPr>
              <w:rFonts w:ascii="Tahoma" w:hAnsi="Tahoma" w:cs="Tahoma"/>
              <w:b/>
              <w:color w:val="f58220"/>
              <w:sz w:val="28"/>
              <w:szCs w:val="28"/>
            </w:rPr>
            <w:t xml:space="preserve">КонсультантПлюс</w:t>
          </w:r>
          <w:r>
            <w:rPr>
              <w:rFonts w:ascii="Tahoma" w:hAnsi="Tahoma" w:cs="Tahoma"/>
              <w:b/>
              <w:sz w:val="16"/>
              <w:szCs w:val="16"/>
            </w:rPr>
            <w:br/>
            <w:t xml:space="preserve">надежная правовая поддержка</w:t>
          </w:r>
        </w:p>
      </w:tc>
      <w:tc>
        <w:tcPr>
          <w:tcW w:w="1700" w:type="pct"/>
          <w:vAlign w:val="center"/>
        </w:tcPr>
        <w:p>
          <w:pPr>
            <w:jc w:val="center"/>
          </w:pPr>
          <w:hyperlink r:id="rId1" w:history="0">
            <w:r>
              <w:rPr>
                <w:rFonts w:ascii="Tahoma" w:hAnsi="Tahoma" w:cs="Tahoma"/>
                <w:b/>
                <w:color w:val="0000ff"/>
              </w:rPr>
              <w:t xml:space="preserve">www.consultant.ru</w:t>
            </w:r>
          </w:hyperlink>
        </w:p>
      </w:tc>
      <w:tc>
        <w:tcPr>
          <w:tcW w:w="1650" w:type="pct"/>
          <w:vAlign w:val="center"/>
        </w:tcPr>
        <w:p>
          <w:pPr>
            <w:jc w:val="right"/>
          </w:pPr>
          <w:r>
            <w:rPr>
              <w:rFonts w:ascii="Tahoma" w:hAnsi="Tahoma" w:cs="Tahoma"/>
            </w:rPr>
            <w:t xml:space="preserve">Страница </w:t>
          </w:r>
          <w:r>
            <w:fldChar w:fldCharType="begin"/>
          </w:r>
          <w:r>
            <w:rPr>
              <w:rFonts w:ascii="Tahoma" w:hAnsi="Tahoma" w:cs="Tahoma"/>
            </w:rPr>
            <w:instrText xml:space="preserve">PAGE</w:instrText>
          </w:r>
          <w:r>
            <w:fldChar w:fldCharType="separate"/>
          </w:r>
          <w:r>
            <w:rPr>
              <w:rFonts w:ascii="Tahoma" w:hAnsi="Tahoma" w:cs="Tahoma"/>
            </w:rPr>
            <w:t xml:space="preserve">5</w:t>
          </w:r>
          <w:r>
            <w:fldChar w:fldCharType="end"/>
          </w:r>
          <w:r>
            <w:rPr>
              <w:rFonts w:ascii="Tahoma" w:hAnsi="Tahoma" w:cs="Tahoma"/>
            </w:rPr>
            <w:t xml:space="preserve"> из </w:t>
          </w:r>
          <w:r>
            <w:fldChar w:fldCharType="begin"/>
          </w:r>
          <w:r>
            <w:rPr>
              <w:rFonts w:ascii="Tahoma" w:hAnsi="Tahoma" w:cs="Tahoma"/>
            </w:rPr>
            <w:instrText xml:space="preserve">NUMPAGES</w:instrText>
          </w:r>
          <w:r>
            <w:fldChar w:fldCharType="separate"/>
          </w:r>
          <w:r>
            <w:rPr>
              <w:rFonts w:ascii="Tahoma" w:hAnsi="Tahoma" w:cs="Tahoma"/>
            </w:rPr>
            <w:t xml:space="preserve">5</w:t>
          </w:r>
          <w:r>
            <w:fldChar w:fldCharType="end"/>
          </w:r>
        </w:p>
      </w:tc>
    </w:tr>
  </w:tbl>
  <w:p>
    <w:r>
      <w:rPr>
        <w:sz w:val="2"/>
        <w:szCs w:val="2"/>
      </w:rPr>
      <w:t xml:space="preserve">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Layout w:type="fixed"/>
      <w:tblCellMar>
        <w:left w:w="40" w:type="dxa"/>
        <w:right w:w="40" w:type="dxa"/>
      </w:tblCellMar>
    </w:tblPr>
    <w:tblGrid>
      <w:gridCol w:w="1"/>
      <w:gridCol w:w="1"/>
    </w:tblGrid>
    <w:tr>
      <w:trPr>
        <w:trHeight w:val="1683" w:hRule="exact"/>
      </w:trPr>
      <w:tc>
        <w:tcPr>
          <w:tcW w:w="2700" w:type="pct"/>
          <w:vAlign w:val="center"/>
        </w:tcPr>
        <w:p>
          <w:pPr>
            <w:rPr>
              <w:rFonts w:ascii="Tahoma" w:hAnsi="Tahoma" w:cs="Tahoma"/>
            </w:rPr>
          </w:pPr>
          <w:r>
            <w:rPr>
              <w:rFonts w:ascii="Tahoma" w:hAnsi="Tahoma" w:cs="Tahoma"/>
              <w:sz w:val="16"/>
              <w:szCs w:val="16"/>
            </w:rPr>
            <w:t xml:space="preserve">Постановление Администрации Томской области от 28.07.2025 N 343а</w:t>
            <w:br/>
            <w:t xml:space="preserve">(ред. от 26.03.2026)</w:t>
            <w:br/>
            <w:t xml:space="preserve">"Об определении Порядка проведения...</w:t>
          </w:r>
        </w:p>
      </w:tc>
      <w:tc>
        <w:tcPr>
          <w:tcW w:w="2300" w:type="pct"/>
          <w:vAlign w:val="center"/>
        </w:tcPr>
        <w:p>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history="0">
            <w:r>
              <w:rPr>
                <w:rFonts w:ascii="Tahoma" w:hAnsi="Tahoma" w:cs="Tahoma"/>
                <w:color w:val="0000ff"/>
                <w:sz w:val="18"/>
                <w:szCs w:val="18"/>
              </w:rPr>
              <w:t xml:space="preserve">КонсультантПлюс</w:t>
            </w:r>
          </w:hyperlink>
          <w:r>
            <w:rPr>
              <w:rFonts w:ascii="Tahoma" w:hAnsi="Tahoma" w:cs="Tahoma"/>
              <w:sz w:val="18"/>
              <w:szCs w:val="18"/>
            </w:rPr>
            <w:br/>
          </w:r>
          <w:r>
            <w:rPr>
              <w:rFonts w:ascii="Tahoma" w:hAnsi="Tahoma" w:cs="Tahoma"/>
              <w:sz w:val="16"/>
              <w:szCs w:val="16"/>
            </w:rPr>
            <w:t xml:space="preserve">Дата сохранения: 17.06.2026</w:t>
          </w:r>
        </w:p>
      </w:tc>
    </w:tr>
  </w:tbl>
  <w:p>
    <w:pPr>
      <w:pBdr>
        <w:bottom w:val="single" w:color="auto" w:sz="12" w:space="0"/>
      </w:pBdr>
      <w:rPr>
        <w:sz w:val="2"/>
        <w:szCs w:val="2"/>
      </w:rP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Layout w:type="fixed"/>
      <w:tblCellMar>
        <w:left w:w="40" w:type="dxa"/>
        <w:right w:w="40" w:type="dxa"/>
      </w:tblCellMar>
    </w:tblPr>
    <w:tblGrid>
      <w:gridCol w:w="1"/>
      <w:gridCol w:w="1"/>
    </w:tblGrid>
    <w:tr>
      <w:trPr>
        <w:trHeight w:val="1683" w:hRule="exact"/>
      </w:trPr>
      <w:tc>
        <w:tcPr>
          <w:tcW w:w="2700" w:type="pct"/>
          <w:vAlign w:val="center"/>
        </w:tcPr>
        <w:p>
          <w:pPr>
            <w:rPr>
              <w:rFonts w:ascii="Tahoma" w:hAnsi="Tahoma" w:cs="Tahoma"/>
            </w:rPr>
          </w:pPr>
          <w:r>
            <w:rPr>
              <w:rFonts w:ascii="Tahoma" w:hAnsi="Tahoma" w:cs="Tahoma"/>
              <w:sz w:val="16"/>
              <w:szCs w:val="16"/>
            </w:rPr>
            <w:t xml:space="preserve">Постановление Администрации Томской области от 28.07.2025 N 343а</w:t>
            <w:br/>
            <w:t xml:space="preserve">(ред. от 26.03.2026)</w:t>
            <w:br/>
            <w:t xml:space="preserve">"Об определении Порядка проведения...</w:t>
          </w:r>
        </w:p>
      </w:tc>
      <w:tc>
        <w:tcPr>
          <w:tcW w:w="2300" w:type="pct"/>
          <w:vAlign w:val="center"/>
        </w:tcPr>
        <w:p>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history="0">
            <w:r>
              <w:rPr>
                <w:rFonts w:ascii="Tahoma" w:hAnsi="Tahoma" w:cs="Tahoma"/>
                <w:color w:val="0000ff"/>
                <w:sz w:val="18"/>
                <w:szCs w:val="18"/>
              </w:rPr>
              <w:t xml:space="preserve">КонсультантПлюс</w:t>
            </w:r>
          </w:hyperlink>
          <w:r>
            <w:rPr>
              <w:rFonts w:ascii="Tahoma" w:hAnsi="Tahoma" w:cs="Tahoma"/>
              <w:sz w:val="18"/>
              <w:szCs w:val="18"/>
            </w:rPr>
            <w:br/>
          </w:r>
          <w:r>
            <w:rPr>
              <w:rFonts w:ascii="Tahoma" w:hAnsi="Tahoma" w:cs="Tahoma"/>
              <w:sz w:val="16"/>
              <w:szCs w:val="16"/>
            </w:rPr>
            <w:t xml:space="preserve">Дата сохранения: 17.06.2026</w:t>
          </w:r>
        </w:p>
      </w:tc>
    </w:tr>
  </w:tbl>
  <w:p>
    <w:pPr>
      <w:pBdr>
        <w:bottom w:val="single" w:color="auto" w:sz="12" w:space="0"/>
      </w:pBdr>
      <w:rPr>
        <w:sz w:val="2"/>
        <w:szCs w:val="2"/>
      </w:rP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0" w:default="1" w:customStyle="1">
    <w:name w:val="ConsPlusNormal"/>
    <w:pPr>
      <w:widowControl w:val="off"/>
    </w:pPr>
    <w:rPr>
      <w:rFonts w:ascii="Times New Roman" w:hAnsi="Times New Roman" w:cs="Times New Roman"/>
      <w:sz w:val="24"/>
    </w:rPr>
  </w:style>
  <w:style w:type="paragraph" w:styleId="1" w:customStyle="1">
    <w:name w:val="ConsPlusNonformat"/>
    <w:pPr>
      <w:widowControl w:val="off"/>
    </w:pPr>
    <w:rPr>
      <w:rFonts w:ascii="Courier New" w:hAnsi="Courier New" w:cs="Courier New"/>
      <w:sz w:val="20"/>
    </w:rPr>
  </w:style>
  <w:style w:type="paragraph" w:styleId="2" w:customStyle="1">
    <w:name w:val="ConsPlusTitle"/>
    <w:pPr>
      <w:widowControl w:val="off"/>
    </w:pPr>
    <w:rPr>
      <w:rFonts w:ascii="Arial" w:hAnsi="Arial" w:cs="Arial"/>
      <w:b/>
      <w:sz w:val="24"/>
    </w:rPr>
  </w:style>
  <w:style w:type="paragraph" w:styleId="3" w:customStyle="1">
    <w:name w:val="ConsPlusCell"/>
    <w:pPr>
      <w:widowControl w:val="off"/>
    </w:pPr>
    <w:rPr>
      <w:rFonts w:ascii="Courier New" w:hAnsi="Courier New" w:cs="Courier New"/>
      <w:sz w:val="20"/>
    </w:rPr>
  </w:style>
  <w:style w:type="paragraph" w:styleId="4" w:customStyle="1">
    <w:name w:val="ConsPlusDocList"/>
    <w:pPr>
      <w:widowControl w:val="off"/>
    </w:pPr>
    <w:rPr>
      <w:rFonts w:ascii="Tahoma" w:hAnsi="Tahoma" w:cs="Tahoma"/>
      <w:sz w:val="18"/>
    </w:rPr>
  </w:style>
  <w:style w:type="paragraph" w:styleId="5" w:customStyle="1">
    <w:name w:val="ConsPlusTitlePage"/>
    <w:pPr>
      <w:widowControl w:val="off"/>
    </w:pPr>
    <w:rPr>
      <w:rFonts w:ascii="Tahoma" w:hAnsi="Tahoma" w:cs="Tahoma"/>
      <w:sz w:val="20"/>
    </w:rPr>
  </w:style>
  <w:style w:type="paragraph" w:styleId="6" w:customStyle="1">
    <w:name w:val="ConsPlusJurTerm"/>
    <w:pPr>
      <w:widowControl w:val="off"/>
    </w:pPr>
    <w:rPr>
      <w:rFonts w:ascii="Tahoma" w:hAnsi="Tahoma" w:cs="Tahoma"/>
      <w:sz w:val="26"/>
    </w:rPr>
  </w:style>
  <w:style w:type="paragraph" w:styleId="7" w:customStyle="1">
    <w:name w:val="ConsPlusTextList"/>
    <w:pPr>
      <w:widowControl w:val="off"/>
    </w:pPr>
    <w:rPr>
      <w:rFonts w:ascii="Times New Roman" w:hAnsi="Times New Roman" w:cs="Times New Roman"/>
      <w:sz w:val="24"/>
    </w:rPr>
  </w:style>
  <w:style w:type="paragraph" w:styleId="8" w:customStyle="1">
    <w:name w:val="ConsPlusTextList"/>
    <w:pPr>
      <w:widowControl w:val="off"/>
    </w:pPr>
    <w:rPr>
      <w:rFonts w:ascii="Times New Roman" w:hAnsi="Times New Roman" w:cs="Times New Roman"/>
      <w:sz w:val="24"/>
    </w:rPr>
  </w:style>
  <w:style w:type="paragraph" w:styleId="0" w:default="1" w:customStyle="1">
    <w:name w:val="ConsPlusNormal"/>
    <w:pPr>
      <w:widowControl w:val="off"/>
    </w:pPr>
    <w:rPr>
      <w:rFonts w:ascii="Times New Roman" w:hAnsi="Times New Roman" w:cs="Times New Roman"/>
      <w:sz w:val="24"/>
    </w:rPr>
  </w:style>
  <w:style w:type="paragraph" w:styleId="1" w:customStyle="1">
    <w:name w:val="ConsPlusNonformat"/>
    <w:pPr>
      <w:widowControl w:val="off"/>
    </w:pPr>
    <w:rPr>
      <w:rFonts w:ascii="Courier New" w:hAnsi="Courier New" w:cs="Courier New"/>
      <w:sz w:val="20"/>
    </w:rPr>
  </w:style>
  <w:style w:type="paragraph" w:styleId="2" w:customStyle="1">
    <w:name w:val="ConsPlusTitle"/>
    <w:pPr>
      <w:widowControl w:val="off"/>
    </w:pPr>
    <w:rPr>
      <w:rFonts w:ascii="Arial" w:hAnsi="Arial" w:cs="Arial"/>
      <w:b/>
      <w:sz w:val="24"/>
    </w:rPr>
  </w:style>
  <w:style w:type="paragraph" w:styleId="3" w:customStyle="1">
    <w:name w:val="ConsPlusCell"/>
    <w:pPr>
      <w:widowControl w:val="off"/>
    </w:pPr>
    <w:rPr>
      <w:rFonts w:ascii="Courier New" w:hAnsi="Courier New" w:cs="Courier New"/>
      <w:sz w:val="20"/>
    </w:rPr>
  </w:style>
  <w:style w:type="paragraph" w:styleId="4" w:customStyle="1">
    <w:name w:val="ConsPlusDocList"/>
    <w:pPr>
      <w:widowControl w:val="off"/>
    </w:pPr>
    <w:rPr>
      <w:rFonts w:ascii="Tahoma" w:hAnsi="Tahoma" w:cs="Tahoma"/>
      <w:sz w:val="18"/>
    </w:rPr>
  </w:style>
  <w:style w:type="paragraph" w:styleId="5" w:customStyle="1">
    <w:name w:val="ConsPlusTitlePage"/>
    <w:pPr>
      <w:widowControl w:val="off"/>
    </w:pPr>
    <w:rPr>
      <w:rFonts w:ascii="Tahoma" w:hAnsi="Tahoma" w:cs="Tahoma"/>
      <w:sz w:val="20"/>
    </w:rPr>
  </w:style>
  <w:style w:type="paragraph" w:styleId="6" w:customStyle="1">
    <w:name w:val="ConsPlusJurTerm"/>
    <w:pPr>
      <w:widowControl w:val="off"/>
    </w:pPr>
    <w:rPr>
      <w:rFonts w:ascii="Tahoma" w:hAnsi="Tahoma" w:cs="Tahoma"/>
      <w:sz w:val="26"/>
    </w:rPr>
  </w:style>
  <w:style w:type="paragraph" w:styleId="7" w:customStyle="1">
    <w:name w:val="ConsPlusTextList"/>
    <w:pPr>
      <w:widowControl w:val="off"/>
    </w:pPr>
    <w:rPr>
      <w:rFonts w:ascii="Times New Roman" w:hAnsi="Times New Roman" w:cs="Times New Roman"/>
      <w:sz w:val="24"/>
    </w:rPr>
  </w:style>
  <w:style w:type="paragraph" w:styleId="8" w:customStyle="1">
    <w:name w:val="ConsPlusTextList"/>
    <w:pPr>
      <w:widowControl w:val="off"/>
    </w:pPr>
    <w:rPr>
      <w:rFonts w:ascii="Times New Roman" w:hAnsi="Times New Roman" w:cs="Times New Roman"/>
      <w:sz w:val="24"/>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image" Target="media/image1.png"/><Relationship Id="rId11" Type="http://schemas.openxmlformats.org/officeDocument/2006/relationships/hyperlink" Target="https://www.consultant.ru" TargetMode="External"/><Relationship Id="rId12" Type="http://schemas.openxmlformats.org/officeDocument/2006/relationships/hyperlink" Target="https://www.consultant.ru" TargetMode="External"/></Relationships>
</file>

<file path=word/_rels/footer1.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Р7-Офис/7.3.3.0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28.07.2025 N 343а
(ред. от 26.03.2026)
"Об определении Порядка проведения отбора лиц, имеющих право на получение меры социальной поддержки в виде единовременной денежной выплаты педагогическим работникам областных государственных и муниципальных общеобразовательных организаций в Томской области"</dc:title>
  <dcterms:created xsi:type="dcterms:W3CDTF">2026-06-17T10:03:07Z</dcterms:created>
</cp:coreProperties>
</file>