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570A" w:rsidRDefault="003D518B" w:rsidP="0009570A">
      <w:pPr>
        <w:autoSpaceDE w:val="0"/>
        <w:autoSpaceDN w:val="0"/>
        <w:adjustRightInd w:val="0"/>
        <w:ind w:firstLine="720"/>
        <w:jc w:val="center"/>
        <w:rPr>
          <w:rFonts w:ascii="PTAstraSerif-Regular" w:hAnsi="PTAstraSerif-Regular" w:cs="PTAstraSerif-Regular"/>
          <w:b/>
          <w:sz w:val="28"/>
          <w:szCs w:val="28"/>
        </w:rPr>
      </w:pPr>
      <w:r w:rsidRPr="003D518B">
        <w:rPr>
          <w:rFonts w:ascii="PTAstraSerif-Regular" w:hAnsi="PTAstraSerif-Regular" w:cs="PTAstraSerif-Regular"/>
          <w:b/>
          <w:sz w:val="28"/>
          <w:szCs w:val="28"/>
        </w:rPr>
        <w:t xml:space="preserve">Социальный проект </w:t>
      </w:r>
    </w:p>
    <w:p w:rsidR="003D518B" w:rsidRDefault="003D518B" w:rsidP="0009570A">
      <w:pPr>
        <w:autoSpaceDE w:val="0"/>
        <w:autoSpaceDN w:val="0"/>
        <w:adjustRightInd w:val="0"/>
        <w:ind w:firstLine="720"/>
        <w:jc w:val="center"/>
        <w:rPr>
          <w:rFonts w:ascii="PTAstraSerif-Regular" w:hAnsi="PTAstraSerif-Regular" w:cs="PTAstraSerif-Regular"/>
          <w:b/>
          <w:sz w:val="28"/>
          <w:szCs w:val="28"/>
        </w:rPr>
      </w:pPr>
      <w:r w:rsidRPr="003D518B">
        <w:rPr>
          <w:rFonts w:ascii="PTAstraSerif-Regular" w:hAnsi="PTAstraSerif-Regular" w:cs="PTAstraSerif-Regular"/>
          <w:b/>
          <w:sz w:val="28"/>
          <w:szCs w:val="28"/>
        </w:rPr>
        <w:t>«Технопредки. Эволюция осознанного родительства»</w:t>
      </w:r>
    </w:p>
    <w:p w:rsidR="0009570A" w:rsidRPr="003D518B" w:rsidRDefault="0009570A" w:rsidP="0009570A">
      <w:pPr>
        <w:autoSpaceDE w:val="0"/>
        <w:autoSpaceDN w:val="0"/>
        <w:adjustRightInd w:val="0"/>
        <w:ind w:firstLine="720"/>
        <w:jc w:val="center"/>
        <w:rPr>
          <w:rFonts w:ascii="PTAstraSerif-Regular" w:hAnsi="PTAstraSerif-Regular" w:cs="PTAstraSerif-Regular"/>
          <w:b/>
          <w:sz w:val="28"/>
          <w:szCs w:val="28"/>
        </w:rPr>
      </w:pPr>
    </w:p>
    <w:p w:rsidR="003D518B" w:rsidRPr="003D518B" w:rsidRDefault="003D518B" w:rsidP="003D518B">
      <w:pPr>
        <w:autoSpaceDE w:val="0"/>
        <w:autoSpaceDN w:val="0"/>
        <w:adjustRightInd w:val="0"/>
        <w:ind w:firstLine="720"/>
        <w:jc w:val="both"/>
        <w:rPr>
          <w:rFonts w:ascii="PTAstraSerif-Regular" w:hAnsi="PTAstraSerif-Regular" w:cs="PTAstraSerif-Regular"/>
          <w:sz w:val="28"/>
          <w:szCs w:val="28"/>
        </w:rPr>
      </w:pPr>
      <w:r w:rsidRPr="003D518B">
        <w:rPr>
          <w:rFonts w:ascii="PTAstraSerif-Regular" w:hAnsi="PTAstraSerif-Regular" w:cs="PTAstraSerif-Regular"/>
          <w:sz w:val="28"/>
          <w:szCs w:val="28"/>
        </w:rPr>
        <w:t xml:space="preserve">Проект осуществляется с 2020 года и продолжается в </w:t>
      </w:r>
      <w:r w:rsidR="00D7569D">
        <w:rPr>
          <w:rFonts w:ascii="PTAstraSerif-Regular" w:hAnsi="PTAstraSerif-Regular" w:cs="PTAstraSerif-Regular"/>
          <w:sz w:val="28"/>
          <w:szCs w:val="28"/>
        </w:rPr>
        <w:t>настоящее время. За период 2020-</w:t>
      </w:r>
      <w:r w:rsidRPr="003D518B">
        <w:rPr>
          <w:rFonts w:ascii="PTAstraSerif-Regular" w:hAnsi="PTAstraSerif-Regular" w:cs="PTAstraSerif-Regular"/>
          <w:sz w:val="28"/>
          <w:szCs w:val="28"/>
        </w:rPr>
        <w:t>2026 гг. были достигнуты следующие результаты:</w:t>
      </w:r>
    </w:p>
    <w:p w:rsidR="003D518B" w:rsidRPr="003D518B" w:rsidRDefault="003D518B" w:rsidP="003D518B">
      <w:pPr>
        <w:autoSpaceDE w:val="0"/>
        <w:autoSpaceDN w:val="0"/>
        <w:adjustRightInd w:val="0"/>
        <w:ind w:firstLine="720"/>
        <w:jc w:val="both"/>
        <w:rPr>
          <w:rFonts w:ascii="PTAstraSerif-Regular" w:hAnsi="PTAstraSerif-Regular" w:cs="PTAstraSerif-Regular"/>
          <w:sz w:val="28"/>
          <w:szCs w:val="28"/>
        </w:rPr>
      </w:pPr>
      <w:r w:rsidRPr="003D518B">
        <w:rPr>
          <w:rFonts w:ascii="PTAstraSerif-Regular" w:hAnsi="PTAstraSerif-Regular" w:cs="PTAstraSerif-Regular"/>
          <w:sz w:val="28"/>
          <w:szCs w:val="28"/>
        </w:rPr>
        <w:t>– в мероприятиях приняли участие более 130 000 человек;</w:t>
      </w:r>
    </w:p>
    <w:p w:rsidR="003D518B" w:rsidRPr="003D518B" w:rsidRDefault="003D518B" w:rsidP="003D518B">
      <w:pPr>
        <w:autoSpaceDE w:val="0"/>
        <w:autoSpaceDN w:val="0"/>
        <w:adjustRightInd w:val="0"/>
        <w:ind w:firstLine="720"/>
        <w:jc w:val="both"/>
        <w:rPr>
          <w:rFonts w:ascii="PTAstraSerif-Regular" w:hAnsi="PTAstraSerif-Regular" w:cs="PTAstraSerif-Regular"/>
          <w:sz w:val="28"/>
          <w:szCs w:val="28"/>
        </w:rPr>
      </w:pPr>
      <w:r w:rsidRPr="003D518B">
        <w:rPr>
          <w:rFonts w:ascii="PTAstraSerif-Regular" w:hAnsi="PTAstraSerif-Regular" w:cs="PTAstraSerif-Regular"/>
          <w:sz w:val="28"/>
          <w:szCs w:val="28"/>
        </w:rPr>
        <w:t>– организовано свыше 300 мероприятий;</w:t>
      </w:r>
    </w:p>
    <w:p w:rsidR="003D518B" w:rsidRPr="003D518B" w:rsidRDefault="003D518B" w:rsidP="003D518B">
      <w:pPr>
        <w:autoSpaceDE w:val="0"/>
        <w:autoSpaceDN w:val="0"/>
        <w:adjustRightInd w:val="0"/>
        <w:ind w:firstLine="720"/>
        <w:jc w:val="both"/>
        <w:rPr>
          <w:rFonts w:ascii="PTAstraSerif-Regular" w:hAnsi="PTAstraSerif-Regular" w:cs="PTAstraSerif-Regular"/>
          <w:sz w:val="28"/>
          <w:szCs w:val="28"/>
        </w:rPr>
      </w:pPr>
      <w:r w:rsidRPr="003D518B">
        <w:rPr>
          <w:rFonts w:ascii="PTAstraSerif-Regular" w:hAnsi="PTAstraSerif-Regular" w:cs="PTAstraSerif-Regular"/>
          <w:sz w:val="28"/>
          <w:szCs w:val="28"/>
        </w:rPr>
        <w:t>– география охватывает 23 региона-партн</w:t>
      </w:r>
      <w:r w:rsidR="00D7569D">
        <w:rPr>
          <w:rFonts w:ascii="PTAstraSerif-Regular" w:hAnsi="PTAstraSerif-Regular" w:cs="PTAstraSerif-Regular"/>
          <w:sz w:val="28"/>
          <w:szCs w:val="28"/>
        </w:rPr>
        <w:t>е</w:t>
      </w:r>
      <w:r w:rsidRPr="003D518B">
        <w:rPr>
          <w:rFonts w:ascii="PTAstraSerif-Regular" w:hAnsi="PTAstraSerif-Regular" w:cs="PTAstraSerif-Regular"/>
          <w:sz w:val="28"/>
          <w:szCs w:val="28"/>
        </w:rPr>
        <w:t>ра и 20 муниципальных образований Томской области;</w:t>
      </w:r>
    </w:p>
    <w:p w:rsidR="003D518B" w:rsidRPr="003D518B" w:rsidRDefault="003D518B" w:rsidP="003D518B">
      <w:pPr>
        <w:autoSpaceDE w:val="0"/>
        <w:autoSpaceDN w:val="0"/>
        <w:adjustRightInd w:val="0"/>
        <w:ind w:firstLine="720"/>
        <w:jc w:val="both"/>
        <w:rPr>
          <w:rFonts w:ascii="PTAstraSerif-Regular" w:hAnsi="PTAstraSerif-Regular" w:cs="PTAstraSerif-Regular"/>
          <w:sz w:val="28"/>
          <w:szCs w:val="28"/>
        </w:rPr>
      </w:pPr>
      <w:r w:rsidRPr="003D518B">
        <w:rPr>
          <w:rFonts w:ascii="PTAstraSerif-Regular" w:hAnsi="PTAstraSerif-Regular" w:cs="PTAstraSerif-Regular"/>
          <w:sz w:val="28"/>
          <w:szCs w:val="28"/>
        </w:rPr>
        <w:t>– медиаматериалы набрали более 2 500 000 просмотров;</w:t>
      </w:r>
    </w:p>
    <w:p w:rsidR="003D518B" w:rsidRPr="003D518B" w:rsidRDefault="003D518B" w:rsidP="003D518B">
      <w:pPr>
        <w:autoSpaceDE w:val="0"/>
        <w:autoSpaceDN w:val="0"/>
        <w:adjustRightInd w:val="0"/>
        <w:ind w:firstLine="720"/>
        <w:jc w:val="both"/>
        <w:rPr>
          <w:rFonts w:ascii="PTAstraSerif-Regular" w:hAnsi="PTAstraSerif-Regular" w:cs="PTAstraSerif-Regular"/>
          <w:sz w:val="28"/>
          <w:szCs w:val="28"/>
        </w:rPr>
      </w:pPr>
      <w:r w:rsidRPr="003D518B">
        <w:rPr>
          <w:rFonts w:ascii="PTAstraSerif-Regular" w:hAnsi="PTAstraSerif-Regular" w:cs="PTAstraSerif-Regular"/>
          <w:sz w:val="28"/>
          <w:szCs w:val="28"/>
        </w:rPr>
        <w:t>– привлечено более 150 партн</w:t>
      </w:r>
      <w:r>
        <w:rPr>
          <w:rFonts w:ascii="PTAstraSerif-Regular" w:hAnsi="PTAstraSerif-Regular" w:cs="PTAstraSerif-Regular"/>
          <w:sz w:val="28"/>
          <w:szCs w:val="28"/>
        </w:rPr>
        <w:t>е</w:t>
      </w:r>
      <w:r w:rsidRPr="003D518B">
        <w:rPr>
          <w:rFonts w:ascii="PTAstraSerif-Regular" w:hAnsi="PTAstraSerif-Regular" w:cs="PTAstraSerif-Regular"/>
          <w:sz w:val="28"/>
          <w:szCs w:val="28"/>
        </w:rPr>
        <w:t>ров;</w:t>
      </w:r>
    </w:p>
    <w:p w:rsidR="003D518B" w:rsidRPr="003D518B" w:rsidRDefault="00D7569D" w:rsidP="003D518B">
      <w:pPr>
        <w:autoSpaceDE w:val="0"/>
        <w:autoSpaceDN w:val="0"/>
        <w:adjustRightInd w:val="0"/>
        <w:ind w:firstLine="720"/>
        <w:jc w:val="both"/>
        <w:rPr>
          <w:rFonts w:ascii="PTAstraSerif-Regular" w:hAnsi="PTAstraSerif-Regular" w:cs="PTAstraSerif-Regular"/>
          <w:sz w:val="28"/>
          <w:szCs w:val="28"/>
        </w:rPr>
      </w:pPr>
      <w:r>
        <w:rPr>
          <w:rFonts w:ascii="PTAstraSerif-Regular" w:hAnsi="PTAstraSerif-Regular" w:cs="PTAstraSerif-Regular"/>
          <w:sz w:val="28"/>
          <w:szCs w:val="28"/>
        </w:rPr>
        <w:t>– проект воше</w:t>
      </w:r>
      <w:r w:rsidR="003D518B" w:rsidRPr="003D518B">
        <w:rPr>
          <w:rFonts w:ascii="PTAstraSerif-Regular" w:hAnsi="PTAstraSerif-Regular" w:cs="PTAstraSerif-Regular"/>
          <w:sz w:val="28"/>
          <w:szCs w:val="28"/>
        </w:rPr>
        <w:t>л в ТОП-10 проектов России по промышленному туризму.</w:t>
      </w:r>
    </w:p>
    <w:p w:rsidR="003D518B" w:rsidRPr="003D518B" w:rsidRDefault="003D518B" w:rsidP="003D518B">
      <w:pPr>
        <w:autoSpaceDE w:val="0"/>
        <w:autoSpaceDN w:val="0"/>
        <w:adjustRightInd w:val="0"/>
        <w:ind w:firstLine="720"/>
        <w:jc w:val="both"/>
        <w:rPr>
          <w:rFonts w:ascii="PTAstraSerif-Regular" w:hAnsi="PTAstraSerif-Regular" w:cs="PTAstraSerif-Regular"/>
          <w:sz w:val="28"/>
          <w:szCs w:val="28"/>
        </w:rPr>
      </w:pPr>
      <w:r w:rsidRPr="003D518B">
        <w:rPr>
          <w:rFonts w:ascii="PTAstraSerif-Regular" w:hAnsi="PTAstraSerif-Regular" w:cs="PTAstraSerif-Regular"/>
          <w:sz w:val="28"/>
          <w:szCs w:val="28"/>
        </w:rPr>
        <w:t>Цель проекта – сократить технологический разрыв между детьми и родителями, повысить цифровую и технологическую грамотность родителей, а также вовлечь их в профориентацию детей в сфере современных технологий.</w:t>
      </w:r>
    </w:p>
    <w:p w:rsidR="003D518B" w:rsidRDefault="00D7569D" w:rsidP="003D518B">
      <w:pPr>
        <w:autoSpaceDE w:val="0"/>
        <w:autoSpaceDN w:val="0"/>
        <w:adjustRightInd w:val="0"/>
        <w:ind w:firstLine="720"/>
        <w:jc w:val="both"/>
        <w:rPr>
          <w:rFonts w:ascii="PTAstraSerif-Regular" w:hAnsi="PTAstraSerif-Regular" w:cs="PTAstraSerif-Regular"/>
          <w:sz w:val="28"/>
          <w:szCs w:val="28"/>
        </w:rPr>
      </w:pPr>
      <w:r w:rsidRPr="00D7569D">
        <w:rPr>
          <w:rFonts w:ascii="PTAstraSerif-Regular" w:hAnsi="PTAstraSerif-Regular" w:cs="PTAstraSerif-Regular"/>
          <w:sz w:val="28"/>
          <w:szCs w:val="28"/>
        </w:rPr>
        <w:t xml:space="preserve">Проект базируется на философии «Антропология осознанного родительства», которая предполагает </w:t>
      </w:r>
      <w:r>
        <w:rPr>
          <w:rFonts w:ascii="PTAstraSerif-Regular" w:hAnsi="PTAstraSerif-Regular" w:cs="PTAstraSerif-Regular"/>
          <w:sz w:val="28"/>
          <w:szCs w:val="28"/>
        </w:rPr>
        <w:t>эволюцию родителя от «не вовлече</w:t>
      </w:r>
      <w:r w:rsidRPr="00D7569D">
        <w:rPr>
          <w:rFonts w:ascii="PTAstraSerif-Regular" w:hAnsi="PTAstraSerif-Regular" w:cs="PTAstraSerif-Regular"/>
          <w:sz w:val="28"/>
          <w:szCs w:val="28"/>
        </w:rPr>
        <w:t>нного» до «действующего» (знает и делает).</w:t>
      </w:r>
    </w:p>
    <w:p w:rsidR="003D518B" w:rsidRPr="00D7569D" w:rsidRDefault="003D518B" w:rsidP="003D518B">
      <w:pPr>
        <w:autoSpaceDE w:val="0"/>
        <w:autoSpaceDN w:val="0"/>
        <w:adjustRightInd w:val="0"/>
        <w:ind w:firstLine="720"/>
        <w:jc w:val="both"/>
        <w:rPr>
          <w:rFonts w:ascii="PTAstraSerif-Regular" w:hAnsi="PTAstraSerif-Regular" w:cs="PTAstraSerif-Regular"/>
          <w:sz w:val="28"/>
          <w:szCs w:val="28"/>
          <w:u w:val="single"/>
        </w:rPr>
      </w:pPr>
      <w:r w:rsidRPr="00D7569D">
        <w:rPr>
          <w:rFonts w:ascii="PTAstraSerif-Regular" w:hAnsi="PTAstraSerif-Regular" w:cs="PTAstraSerif-Regular"/>
          <w:sz w:val="28"/>
          <w:szCs w:val="28"/>
          <w:u w:val="single"/>
        </w:rPr>
        <w:t>Механизмы реализации:</w:t>
      </w:r>
    </w:p>
    <w:p w:rsidR="003D518B" w:rsidRPr="003D518B" w:rsidRDefault="003D518B" w:rsidP="003D518B">
      <w:pPr>
        <w:autoSpaceDE w:val="0"/>
        <w:autoSpaceDN w:val="0"/>
        <w:adjustRightInd w:val="0"/>
        <w:ind w:firstLine="720"/>
        <w:jc w:val="both"/>
        <w:rPr>
          <w:rFonts w:ascii="PTAstraSerif-Regular" w:hAnsi="PTAstraSerif-Regular" w:cs="PTAstraSerif-Regular"/>
          <w:sz w:val="28"/>
          <w:szCs w:val="28"/>
        </w:rPr>
      </w:pPr>
      <w:r w:rsidRPr="003D518B">
        <w:rPr>
          <w:rFonts w:ascii="PTAstraSerif-Regular" w:hAnsi="PTAstraSerif-Regular" w:cs="PTAstraSerif-Regular"/>
          <w:sz w:val="28"/>
          <w:szCs w:val="28"/>
        </w:rPr>
        <w:t>– система совместных деятельностных мероприятий по проектному принципу с продуктовым результатом (создание полезных устройств для жизни, настольных игр);</w:t>
      </w:r>
    </w:p>
    <w:p w:rsidR="003D518B" w:rsidRPr="003D518B" w:rsidRDefault="003D518B" w:rsidP="003D518B">
      <w:pPr>
        <w:autoSpaceDE w:val="0"/>
        <w:autoSpaceDN w:val="0"/>
        <w:adjustRightInd w:val="0"/>
        <w:ind w:firstLine="720"/>
        <w:jc w:val="both"/>
        <w:rPr>
          <w:rFonts w:ascii="PTAstraSerif-Regular" w:hAnsi="PTAstraSerif-Regular" w:cs="PTAstraSerif-Regular"/>
          <w:sz w:val="28"/>
          <w:szCs w:val="28"/>
        </w:rPr>
      </w:pPr>
      <w:r w:rsidRPr="003D518B">
        <w:rPr>
          <w:rFonts w:ascii="PTAstraSerif-Regular" w:hAnsi="PTAstraSerif-Regular" w:cs="PTAstraSerif-Regular"/>
          <w:sz w:val="28"/>
          <w:szCs w:val="28"/>
        </w:rPr>
        <w:t>– разработка методических материалов в современных медиаформатах (лонгриды, видеоуроки, онлайн-навигатор по иммерсивным маршрутам «ТехноТур»);</w:t>
      </w:r>
    </w:p>
    <w:p w:rsidR="003D518B" w:rsidRPr="003D518B" w:rsidRDefault="003D518B" w:rsidP="003D518B">
      <w:pPr>
        <w:autoSpaceDE w:val="0"/>
        <w:autoSpaceDN w:val="0"/>
        <w:adjustRightInd w:val="0"/>
        <w:ind w:firstLine="720"/>
        <w:jc w:val="both"/>
        <w:rPr>
          <w:rFonts w:ascii="PTAstraSerif-Regular" w:hAnsi="PTAstraSerif-Regular" w:cs="PTAstraSerif-Regular"/>
          <w:sz w:val="28"/>
          <w:szCs w:val="28"/>
        </w:rPr>
      </w:pPr>
      <w:r w:rsidRPr="003D518B">
        <w:rPr>
          <w:rFonts w:ascii="PTAstraSerif-Regular" w:hAnsi="PTAstraSerif-Regular" w:cs="PTAstraSerif-Regular"/>
          <w:sz w:val="28"/>
          <w:szCs w:val="28"/>
        </w:rPr>
        <w:t>– формат телевизионных ток-шоу («АЙТИ-БУМ», «КРУТОЕ ПИКЕ», «А-РОБОТ», «НАШ ПРОЕКТ»);</w:t>
      </w:r>
    </w:p>
    <w:p w:rsidR="003D518B" w:rsidRPr="003D518B" w:rsidRDefault="003D518B" w:rsidP="003D518B">
      <w:pPr>
        <w:autoSpaceDE w:val="0"/>
        <w:autoSpaceDN w:val="0"/>
        <w:adjustRightInd w:val="0"/>
        <w:ind w:firstLine="720"/>
        <w:jc w:val="both"/>
        <w:rPr>
          <w:rFonts w:ascii="PTAstraSerif-Regular" w:hAnsi="PTAstraSerif-Regular" w:cs="PTAstraSerif-Regular"/>
          <w:sz w:val="28"/>
          <w:szCs w:val="28"/>
        </w:rPr>
      </w:pPr>
      <w:r w:rsidRPr="003D518B">
        <w:rPr>
          <w:rFonts w:ascii="PTAstraSerif-Regular" w:hAnsi="PTAstraSerif-Regular" w:cs="PTAstraSerif-Regular"/>
          <w:sz w:val="28"/>
          <w:szCs w:val="28"/>
        </w:rPr>
        <w:t>– проведение масштабных фестивалей («Технопредки: твое будущее!», «Технопредки: код технологий», «Технопредки: игры объединяют!»), семейных химико-экологических марафонов и иммерсивных экскурсий на производство.</w:t>
      </w:r>
    </w:p>
    <w:p w:rsidR="003D518B" w:rsidRPr="00D7569D" w:rsidRDefault="003D518B" w:rsidP="003D518B">
      <w:pPr>
        <w:autoSpaceDE w:val="0"/>
        <w:autoSpaceDN w:val="0"/>
        <w:adjustRightInd w:val="0"/>
        <w:ind w:firstLine="720"/>
        <w:jc w:val="both"/>
        <w:rPr>
          <w:rFonts w:ascii="PTAstraSerif-Regular" w:hAnsi="PTAstraSerif-Regular" w:cs="PTAstraSerif-Regular"/>
          <w:sz w:val="28"/>
          <w:szCs w:val="28"/>
          <w:u w:val="single"/>
        </w:rPr>
      </w:pPr>
      <w:r w:rsidRPr="00D7569D">
        <w:rPr>
          <w:rFonts w:ascii="PTAstraSerif-Regular" w:hAnsi="PTAstraSerif-Regular" w:cs="PTAstraSerif-Regular"/>
          <w:sz w:val="28"/>
          <w:szCs w:val="28"/>
          <w:u w:val="single"/>
        </w:rPr>
        <w:t>Целевая аудитория:</w:t>
      </w:r>
    </w:p>
    <w:p w:rsidR="003D518B" w:rsidRPr="003D518B" w:rsidRDefault="003D518B" w:rsidP="003D518B">
      <w:pPr>
        <w:autoSpaceDE w:val="0"/>
        <w:autoSpaceDN w:val="0"/>
        <w:adjustRightInd w:val="0"/>
        <w:ind w:firstLine="720"/>
        <w:jc w:val="both"/>
        <w:rPr>
          <w:rFonts w:ascii="PTAstraSerif-Regular" w:hAnsi="PTAstraSerif-Regular" w:cs="PTAstraSerif-Regular"/>
          <w:sz w:val="28"/>
          <w:szCs w:val="28"/>
        </w:rPr>
      </w:pPr>
      <w:r w:rsidRPr="003D518B">
        <w:rPr>
          <w:rFonts w:ascii="PTAstraSerif-Regular" w:hAnsi="PTAstraSerif-Regular" w:cs="PTAstraSerif-Regular"/>
          <w:sz w:val="28"/>
          <w:szCs w:val="28"/>
        </w:rPr>
        <w:t>– родители (в роли наставников, бизнес-партн</w:t>
      </w:r>
      <w:r w:rsidR="00D7569D">
        <w:rPr>
          <w:rFonts w:ascii="PTAstraSerif-Regular" w:hAnsi="PTAstraSerif-Regular" w:cs="PTAstraSerif-Regular"/>
          <w:sz w:val="28"/>
          <w:szCs w:val="28"/>
        </w:rPr>
        <w:t>е</w:t>
      </w:r>
      <w:r w:rsidRPr="003D518B">
        <w:rPr>
          <w:rFonts w:ascii="PTAstraSerif-Regular" w:hAnsi="PTAstraSerif-Regular" w:cs="PTAstraSerif-Regular"/>
          <w:sz w:val="28"/>
          <w:szCs w:val="28"/>
        </w:rPr>
        <w:t>ров, коллег или заказчиков);</w:t>
      </w:r>
    </w:p>
    <w:p w:rsidR="003D518B" w:rsidRPr="003D518B" w:rsidRDefault="003D518B" w:rsidP="003D518B">
      <w:pPr>
        <w:autoSpaceDE w:val="0"/>
        <w:autoSpaceDN w:val="0"/>
        <w:adjustRightInd w:val="0"/>
        <w:ind w:firstLine="720"/>
        <w:jc w:val="both"/>
        <w:rPr>
          <w:rFonts w:ascii="PTAstraSerif-Regular" w:hAnsi="PTAstraSerif-Regular" w:cs="PTAstraSerif-Regular"/>
          <w:sz w:val="28"/>
          <w:szCs w:val="28"/>
        </w:rPr>
      </w:pPr>
      <w:r w:rsidRPr="003D518B">
        <w:rPr>
          <w:rFonts w:ascii="PTAstraSerif-Regular" w:hAnsi="PTAstraSerif-Regular" w:cs="PTAstraSerif-Regular"/>
          <w:sz w:val="28"/>
          <w:szCs w:val="28"/>
        </w:rPr>
        <w:t>– школьники (как тим-лидеры, инженеры проектов, партн</w:t>
      </w:r>
      <w:r w:rsidR="00D7569D">
        <w:rPr>
          <w:rFonts w:ascii="PTAstraSerif-Regular" w:hAnsi="PTAstraSerif-Regular" w:cs="PTAstraSerif-Regular"/>
          <w:sz w:val="28"/>
          <w:szCs w:val="28"/>
        </w:rPr>
        <w:t>е</w:t>
      </w:r>
      <w:r w:rsidRPr="003D518B">
        <w:rPr>
          <w:rFonts w:ascii="PTAstraSerif-Regular" w:hAnsi="PTAstraSerif-Regular" w:cs="PTAstraSerif-Regular"/>
          <w:sz w:val="28"/>
          <w:szCs w:val="28"/>
        </w:rPr>
        <w:t>ры);</w:t>
      </w:r>
    </w:p>
    <w:p w:rsidR="003D518B" w:rsidRPr="003D518B" w:rsidRDefault="003D518B" w:rsidP="003D518B">
      <w:pPr>
        <w:autoSpaceDE w:val="0"/>
        <w:autoSpaceDN w:val="0"/>
        <w:adjustRightInd w:val="0"/>
        <w:ind w:firstLine="720"/>
        <w:jc w:val="both"/>
        <w:rPr>
          <w:rFonts w:ascii="PTAstraSerif-Regular" w:hAnsi="PTAstraSerif-Regular" w:cs="PTAstraSerif-Regular"/>
          <w:sz w:val="28"/>
          <w:szCs w:val="28"/>
        </w:rPr>
      </w:pPr>
      <w:r w:rsidRPr="003D518B">
        <w:rPr>
          <w:rFonts w:ascii="PTAstraSerif-Regular" w:hAnsi="PTAstraSerif-Regular" w:cs="PTAstraSerif-Regular"/>
          <w:sz w:val="28"/>
          <w:szCs w:val="28"/>
        </w:rPr>
        <w:t>– педагогические работники и представители образовательных организаций.</w:t>
      </w:r>
    </w:p>
    <w:p w:rsidR="003D518B" w:rsidRPr="00D7569D" w:rsidRDefault="003D518B" w:rsidP="003D518B">
      <w:pPr>
        <w:autoSpaceDE w:val="0"/>
        <w:autoSpaceDN w:val="0"/>
        <w:adjustRightInd w:val="0"/>
        <w:ind w:firstLine="720"/>
        <w:jc w:val="both"/>
        <w:rPr>
          <w:rFonts w:ascii="PTAstraSerif-Regular" w:hAnsi="PTAstraSerif-Regular" w:cs="PTAstraSerif-Regular"/>
          <w:sz w:val="28"/>
          <w:szCs w:val="28"/>
          <w:u w:val="single"/>
        </w:rPr>
      </w:pPr>
      <w:r w:rsidRPr="00D7569D">
        <w:rPr>
          <w:rFonts w:ascii="PTAstraSerif-Regular" w:hAnsi="PTAstraSerif-Regular" w:cs="PTAstraSerif-Regular"/>
          <w:sz w:val="28"/>
          <w:szCs w:val="28"/>
          <w:u w:val="single"/>
        </w:rPr>
        <w:t>Партн</w:t>
      </w:r>
      <w:r w:rsidR="00D7569D" w:rsidRPr="00D7569D">
        <w:rPr>
          <w:rFonts w:ascii="PTAstraSerif-Regular" w:hAnsi="PTAstraSerif-Regular" w:cs="PTAstraSerif-Regular"/>
          <w:sz w:val="28"/>
          <w:szCs w:val="28"/>
          <w:u w:val="single"/>
        </w:rPr>
        <w:t>е</w:t>
      </w:r>
      <w:r w:rsidRPr="00D7569D">
        <w:rPr>
          <w:rFonts w:ascii="PTAstraSerif-Regular" w:hAnsi="PTAstraSerif-Regular" w:cs="PTAstraSerif-Regular"/>
          <w:sz w:val="28"/>
          <w:szCs w:val="28"/>
          <w:u w:val="single"/>
        </w:rPr>
        <w:t>ры проекта.</w:t>
      </w:r>
    </w:p>
    <w:p w:rsidR="003D518B" w:rsidRPr="003D518B" w:rsidRDefault="003D518B" w:rsidP="003D518B">
      <w:pPr>
        <w:autoSpaceDE w:val="0"/>
        <w:autoSpaceDN w:val="0"/>
        <w:adjustRightInd w:val="0"/>
        <w:ind w:firstLine="720"/>
        <w:jc w:val="both"/>
        <w:rPr>
          <w:rFonts w:ascii="PTAstraSerif-Regular" w:hAnsi="PTAstraSerif-Regular" w:cs="PTAstraSerif-Regular"/>
          <w:sz w:val="28"/>
          <w:szCs w:val="28"/>
        </w:rPr>
      </w:pPr>
      <w:r w:rsidRPr="003D518B">
        <w:rPr>
          <w:rFonts w:ascii="PTAstraSerif-Regular" w:hAnsi="PTAstraSerif-Regular" w:cs="PTAstraSerif-Regular"/>
          <w:sz w:val="28"/>
          <w:szCs w:val="28"/>
        </w:rPr>
        <w:t>В 2025 году в фестив</w:t>
      </w:r>
      <w:r w:rsidR="00D7569D">
        <w:rPr>
          <w:rFonts w:ascii="PTAstraSerif-Regular" w:hAnsi="PTAstraSerif-Regular" w:cs="PTAstraSerif-Regular"/>
          <w:sz w:val="28"/>
          <w:szCs w:val="28"/>
        </w:rPr>
        <w:t>але участвовало более 140 партне</w:t>
      </w:r>
      <w:r w:rsidRPr="003D518B">
        <w:rPr>
          <w:rFonts w:ascii="PTAstraSerif-Regular" w:hAnsi="PTAstraSerif-Regular" w:cs="PTAstraSerif-Regular"/>
          <w:sz w:val="28"/>
          <w:szCs w:val="28"/>
        </w:rPr>
        <w:t>ров. Ключевые из них:</w:t>
      </w:r>
    </w:p>
    <w:p w:rsidR="003D518B" w:rsidRPr="003D518B" w:rsidRDefault="003D518B" w:rsidP="003D518B">
      <w:pPr>
        <w:autoSpaceDE w:val="0"/>
        <w:autoSpaceDN w:val="0"/>
        <w:adjustRightInd w:val="0"/>
        <w:ind w:firstLine="720"/>
        <w:jc w:val="both"/>
        <w:rPr>
          <w:rFonts w:ascii="PTAstraSerif-Regular" w:hAnsi="PTAstraSerif-Regular" w:cs="PTAstraSerif-Regular"/>
          <w:sz w:val="28"/>
          <w:szCs w:val="28"/>
        </w:rPr>
      </w:pPr>
      <w:r w:rsidRPr="003D518B">
        <w:rPr>
          <w:rFonts w:ascii="PTAstraSerif-Regular" w:hAnsi="PTAstraSerif-Regular" w:cs="PTAstraSerif-Regular"/>
          <w:sz w:val="28"/>
          <w:szCs w:val="28"/>
        </w:rPr>
        <w:t>– органы власти и организации: Администрация Томской области, Агентство стратегических инициатив, «Движение первых», Департамент образования Томской области, ВГТРК «Томск», Центр управления регионом ТО;</w:t>
      </w:r>
    </w:p>
    <w:p w:rsidR="003D518B" w:rsidRPr="003D518B" w:rsidRDefault="003D518B" w:rsidP="003D518B">
      <w:pPr>
        <w:autoSpaceDE w:val="0"/>
        <w:autoSpaceDN w:val="0"/>
        <w:adjustRightInd w:val="0"/>
        <w:ind w:firstLine="720"/>
        <w:jc w:val="both"/>
        <w:rPr>
          <w:rFonts w:ascii="PTAstraSerif-Regular" w:hAnsi="PTAstraSerif-Regular" w:cs="PTAstraSerif-Regular"/>
          <w:sz w:val="28"/>
          <w:szCs w:val="28"/>
        </w:rPr>
      </w:pPr>
      <w:r w:rsidRPr="003D518B">
        <w:rPr>
          <w:rFonts w:ascii="PTAstraSerif-Regular" w:hAnsi="PTAstraSerif-Regular" w:cs="PTAstraSerif-Regular"/>
          <w:sz w:val="28"/>
          <w:szCs w:val="28"/>
        </w:rPr>
        <w:t>– промышленные и IT-компании: ПАО «СИБУР Холдинг» (АО «Томскнефтехим»), ООО «Газпром трансгаз Томск», ООО «Газпромнефть-</w:t>
      </w:r>
      <w:r w:rsidRPr="003D518B">
        <w:rPr>
          <w:rFonts w:ascii="PTAstraSerif-Regular" w:hAnsi="PTAstraSerif-Regular" w:cs="PTAstraSerif-Regular"/>
          <w:sz w:val="28"/>
          <w:szCs w:val="28"/>
        </w:rPr>
        <w:lastRenderedPageBreak/>
        <w:t>Восток», СБЕР, АО «НПП «Радар ммс», Дом.ру, Альфа-Банк, ВТБ, Ростелеком, 2ГИС, НПФ «Микран»;</w:t>
      </w:r>
    </w:p>
    <w:p w:rsidR="003D518B" w:rsidRPr="003D518B" w:rsidRDefault="003D518B" w:rsidP="003D518B">
      <w:pPr>
        <w:autoSpaceDE w:val="0"/>
        <w:autoSpaceDN w:val="0"/>
        <w:adjustRightInd w:val="0"/>
        <w:ind w:firstLine="720"/>
        <w:jc w:val="both"/>
        <w:rPr>
          <w:rFonts w:ascii="PTAstraSerif-Regular" w:hAnsi="PTAstraSerif-Regular" w:cs="PTAstraSerif-Regular"/>
          <w:sz w:val="28"/>
          <w:szCs w:val="28"/>
        </w:rPr>
      </w:pPr>
      <w:r w:rsidRPr="003D518B">
        <w:rPr>
          <w:rFonts w:ascii="PTAstraSerif-Regular" w:hAnsi="PTAstraSerif-Regular" w:cs="PTAstraSerif-Regular"/>
          <w:sz w:val="28"/>
          <w:szCs w:val="28"/>
        </w:rPr>
        <w:t>– образовательные учреждения: Российское общество «Знание», Ассоциация участников технологических кружков, НИ ТПУ, НИ ТГУ, ТУСУР, ТГПУ, СибГМУ, ТГАСУ, Томский техникум информационных технологий.</w:t>
      </w:r>
    </w:p>
    <w:p w:rsidR="003D518B" w:rsidRPr="00D7569D" w:rsidRDefault="003D518B" w:rsidP="003D518B">
      <w:pPr>
        <w:autoSpaceDE w:val="0"/>
        <w:autoSpaceDN w:val="0"/>
        <w:adjustRightInd w:val="0"/>
        <w:ind w:firstLine="720"/>
        <w:jc w:val="both"/>
        <w:rPr>
          <w:rFonts w:ascii="PTAstraSerif-Regular" w:hAnsi="PTAstraSerif-Regular" w:cs="PTAstraSerif-Regular"/>
          <w:sz w:val="28"/>
          <w:szCs w:val="28"/>
          <w:u w:val="single"/>
        </w:rPr>
      </w:pPr>
      <w:bookmarkStart w:id="0" w:name="_GoBack"/>
      <w:bookmarkEnd w:id="0"/>
      <w:r w:rsidRPr="00D7569D">
        <w:rPr>
          <w:rFonts w:ascii="PTAstraSerif-Regular" w:hAnsi="PTAstraSerif-Regular" w:cs="PTAstraSerif-Regular"/>
          <w:sz w:val="28"/>
          <w:szCs w:val="28"/>
          <w:u w:val="single"/>
        </w:rPr>
        <w:t>Размещение материалов и тиражирование.</w:t>
      </w:r>
    </w:p>
    <w:p w:rsidR="003D518B" w:rsidRPr="003D518B" w:rsidRDefault="003D518B" w:rsidP="003D518B">
      <w:pPr>
        <w:autoSpaceDE w:val="0"/>
        <w:autoSpaceDN w:val="0"/>
        <w:adjustRightInd w:val="0"/>
        <w:ind w:firstLine="720"/>
        <w:jc w:val="both"/>
        <w:rPr>
          <w:rFonts w:ascii="PTAstraSerif-Regular" w:hAnsi="PTAstraSerif-Regular" w:cs="PTAstraSerif-Regular"/>
          <w:sz w:val="28"/>
          <w:szCs w:val="28"/>
        </w:rPr>
      </w:pPr>
      <w:r w:rsidRPr="003D518B">
        <w:rPr>
          <w:rFonts w:ascii="PTAstraSerif-Regular" w:hAnsi="PTAstraSerif-Regular" w:cs="PTAstraSerif-Regular"/>
          <w:sz w:val="28"/>
          <w:szCs w:val="28"/>
        </w:rPr>
        <w:t>Проект имеет открытую базу для масштабирования:</w:t>
      </w:r>
    </w:p>
    <w:p w:rsidR="003D518B" w:rsidRPr="003D518B" w:rsidRDefault="003D518B" w:rsidP="003D518B">
      <w:pPr>
        <w:autoSpaceDE w:val="0"/>
        <w:autoSpaceDN w:val="0"/>
        <w:adjustRightInd w:val="0"/>
        <w:ind w:firstLine="720"/>
        <w:jc w:val="both"/>
        <w:rPr>
          <w:rFonts w:ascii="PTAstraSerif-Regular" w:hAnsi="PTAstraSerif-Regular" w:cs="PTAstraSerif-Regular"/>
          <w:sz w:val="28"/>
          <w:szCs w:val="28"/>
        </w:rPr>
      </w:pPr>
      <w:r w:rsidRPr="003D518B">
        <w:rPr>
          <w:rFonts w:ascii="PTAstraSerif-Regular" w:hAnsi="PTAstraSerif-Regular" w:cs="PTAstraSerif-Regular"/>
          <w:sz w:val="28"/>
          <w:szCs w:val="28"/>
        </w:rPr>
        <w:t>– официальный сайт проекта: https://technopredki.ru/;</w:t>
      </w:r>
    </w:p>
    <w:p w:rsidR="003D518B" w:rsidRPr="003D518B" w:rsidRDefault="003D518B" w:rsidP="003D518B">
      <w:pPr>
        <w:autoSpaceDE w:val="0"/>
        <w:autoSpaceDN w:val="0"/>
        <w:adjustRightInd w:val="0"/>
        <w:ind w:firstLine="720"/>
        <w:jc w:val="both"/>
        <w:rPr>
          <w:rFonts w:ascii="PTAstraSerif-Regular" w:hAnsi="PTAstraSerif-Regular" w:cs="PTAstraSerif-Regular"/>
          <w:sz w:val="28"/>
          <w:szCs w:val="28"/>
        </w:rPr>
      </w:pPr>
      <w:r w:rsidRPr="003D518B">
        <w:rPr>
          <w:rFonts w:ascii="PTAstraSerif-Regular" w:hAnsi="PTAstraSerif-Regular" w:cs="PTAstraSerif-Regular"/>
          <w:sz w:val="28"/>
          <w:szCs w:val="28"/>
        </w:rPr>
        <w:t>– гид-навигатор по внедрению проекта для образовательных организаций: https://technopredki.ru/navigator;</w:t>
      </w:r>
    </w:p>
    <w:p w:rsidR="003D518B" w:rsidRPr="003D518B" w:rsidRDefault="003D518B" w:rsidP="003D518B">
      <w:pPr>
        <w:autoSpaceDE w:val="0"/>
        <w:autoSpaceDN w:val="0"/>
        <w:adjustRightInd w:val="0"/>
        <w:ind w:firstLine="720"/>
        <w:jc w:val="both"/>
        <w:rPr>
          <w:rFonts w:ascii="PTAstraSerif-Regular" w:hAnsi="PTAstraSerif-Regular" w:cs="PTAstraSerif-Regular"/>
          <w:sz w:val="28"/>
          <w:szCs w:val="28"/>
        </w:rPr>
      </w:pPr>
      <w:r w:rsidRPr="003D518B">
        <w:rPr>
          <w:rFonts w:ascii="PTAstraSerif-Regular" w:hAnsi="PTAstraSerif-Regular" w:cs="PTAstraSerif-Regular"/>
          <w:sz w:val="28"/>
          <w:szCs w:val="28"/>
        </w:rPr>
        <w:t>– электронная брошюра и видеоинструкции по организации работы с родителями;</w:t>
      </w:r>
    </w:p>
    <w:p w:rsidR="003D518B" w:rsidRPr="003D518B" w:rsidRDefault="003D518B" w:rsidP="003D518B">
      <w:pPr>
        <w:autoSpaceDE w:val="0"/>
        <w:autoSpaceDN w:val="0"/>
        <w:adjustRightInd w:val="0"/>
        <w:ind w:firstLine="720"/>
        <w:jc w:val="both"/>
        <w:rPr>
          <w:rFonts w:ascii="PTAstraSerif-Regular" w:hAnsi="PTAstraSerif-Regular" w:cs="PTAstraSerif-Regular"/>
          <w:sz w:val="28"/>
          <w:szCs w:val="28"/>
        </w:rPr>
      </w:pPr>
      <w:r w:rsidRPr="003D518B">
        <w:rPr>
          <w:rFonts w:ascii="PTAstraSerif-Regular" w:hAnsi="PTAstraSerif-Regular" w:cs="PTAstraSerif-Regular"/>
          <w:sz w:val="28"/>
          <w:szCs w:val="28"/>
        </w:rPr>
        <w:t>– более 100 цифровых методических продуктов (лонгриды, видеоуроки, описания проектов и мастер-классов);</w:t>
      </w:r>
    </w:p>
    <w:p w:rsidR="003D518B" w:rsidRPr="00D7569D" w:rsidRDefault="00D7569D" w:rsidP="008B63CE">
      <w:pPr>
        <w:autoSpaceDE w:val="0"/>
        <w:autoSpaceDN w:val="0"/>
        <w:adjustRightInd w:val="0"/>
        <w:ind w:firstLine="720"/>
        <w:jc w:val="both"/>
        <w:rPr>
          <w:rFonts w:ascii="PTAstraSerif-Regular" w:hAnsi="PTAstraSerif-Regular" w:cs="PTAstraSerif-Regular"/>
          <w:sz w:val="28"/>
          <w:szCs w:val="28"/>
        </w:rPr>
      </w:pPr>
      <w:r w:rsidRPr="00D7569D">
        <w:rPr>
          <w:rFonts w:ascii="PTAstraSerif-Regular" w:hAnsi="PTAstraSerif-Regular" w:cs="PTAstraSerif-Regular"/>
          <w:sz w:val="28"/>
          <w:szCs w:val="28"/>
        </w:rPr>
        <w:t>– опыт взаимодействия с предприятиями успешно применяется через проведение иммерсивных экскурсий на производство для всей семьи.</w:t>
      </w:r>
    </w:p>
    <w:sectPr w:rsidR="003D518B" w:rsidRPr="00D7569D">
      <w:headerReference w:type="even" r:id="rId8"/>
      <w:headerReference w:type="default" r:id="rId9"/>
      <w:headerReference w:type="first" r:id="rId10"/>
      <w:pgSz w:w="11907" w:h="16840"/>
      <w:pgMar w:top="1134" w:right="850" w:bottom="1134" w:left="1417" w:header="425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76D2A" w:rsidRDefault="00D76D2A">
      <w:r>
        <w:separator/>
      </w:r>
    </w:p>
  </w:endnote>
  <w:endnote w:type="continuationSeparator" w:id="0">
    <w:p w:rsidR="00D76D2A" w:rsidRDefault="00D76D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AstraSerif-Regular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76D2A" w:rsidRDefault="00D76D2A">
      <w:r>
        <w:separator/>
      </w:r>
    </w:p>
  </w:footnote>
  <w:footnote w:type="continuationSeparator" w:id="0">
    <w:p w:rsidR="00D76D2A" w:rsidRDefault="00D76D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569D" w:rsidRDefault="00D7569D">
    <w:pPr>
      <w:pStyle w:val="af5"/>
      <w:framePr w:wrap="around" w:vAnchor="text" w:hAnchor="margin" w:xAlign="center" w:y="1"/>
      <w:rPr>
        <w:rStyle w:val="af9"/>
      </w:rPr>
    </w:pPr>
    <w:r>
      <w:rPr>
        <w:rStyle w:val="af9"/>
      </w:rPr>
      <w:fldChar w:fldCharType="begin"/>
    </w:r>
    <w:r>
      <w:rPr>
        <w:rStyle w:val="af9"/>
      </w:rPr>
      <w:instrText xml:space="preserve">PAGE  </w:instrText>
    </w:r>
    <w:r>
      <w:rPr>
        <w:rStyle w:val="af9"/>
      </w:rPr>
      <w:fldChar w:fldCharType="end"/>
    </w:r>
  </w:p>
  <w:p w:rsidR="00D7569D" w:rsidRDefault="00D7569D">
    <w:pPr>
      <w:pStyle w:val="af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569D" w:rsidRDefault="00D7569D">
    <w:pPr>
      <w:pStyle w:val="af5"/>
      <w:ind w:firstLine="0"/>
      <w:rPr>
        <w:rFonts w:ascii="PT Astra Serif" w:hAnsi="PT Astra Serif" w:cs="PT Astra Serif"/>
        <w:b w:val="0"/>
      </w:rPr>
    </w:pPr>
    <w:r>
      <w:fldChar w:fldCharType="begin"/>
    </w:r>
    <w:r>
      <w:instrText>PAGE \* MERGEFORMAT</w:instrText>
    </w:r>
    <w:r>
      <w:fldChar w:fldCharType="separate"/>
    </w:r>
    <w:r w:rsidR="00614A49" w:rsidRPr="00614A49">
      <w:rPr>
        <w:rFonts w:ascii="PT Astra Serif" w:eastAsia="PT Astra Serif" w:hAnsi="PT Astra Serif" w:cs="PT Astra Serif"/>
        <w:b w:val="0"/>
        <w:noProof/>
      </w:rPr>
      <w:t>2</w:t>
    </w:r>
    <w:r>
      <w:rPr>
        <w:rFonts w:ascii="PT Astra Serif" w:eastAsia="PT Astra Serif" w:hAnsi="PT Astra Serif" w:cs="PT Astra Serif"/>
        <w:b w:val="0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569D" w:rsidRDefault="00D7569D">
    <w:pPr>
      <w:pStyle w:val="af5"/>
      <w:spacing w:before="0" w:after="0"/>
      <w:ind w:firstLine="0"/>
      <w:jc w:val="right"/>
      <w:rPr>
        <w:b w:val="0"/>
        <w:sz w:val="2"/>
        <w:szCs w:val="2"/>
      </w:rPr>
    </w:pPr>
    <w:r>
      <w:rPr>
        <w:b w:val="0"/>
        <w:sz w:val="2"/>
        <w:szCs w:val="2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ED658D"/>
    <w:multiLevelType w:val="hybridMultilevel"/>
    <w:tmpl w:val="35C89F38"/>
    <w:lvl w:ilvl="0" w:tplc="B380E8AC">
      <w:start w:val="1"/>
      <w:numFmt w:val="decimal"/>
      <w:lvlText w:val="%1)"/>
      <w:lvlJc w:val="left"/>
      <w:pPr>
        <w:ind w:left="1429" w:hanging="360"/>
      </w:pPr>
      <w:rPr>
        <w:rFonts w:cs="Times New Roman"/>
      </w:rPr>
    </w:lvl>
    <w:lvl w:ilvl="1" w:tplc="B4A80144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CF822E9E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D500FD1A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5BD8D7AC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5E1E0A10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48EAB97C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68BC536A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990CC770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" w15:restartNumberingAfterBreak="0">
    <w:nsid w:val="5D0E2373"/>
    <w:multiLevelType w:val="multilevel"/>
    <w:tmpl w:val="59B60FDE"/>
    <w:lvl w:ilvl="0">
      <w:start w:val="1"/>
      <w:numFmt w:val="decimal"/>
      <w:pStyle w:val="a"/>
      <w:lvlText w:val="%1."/>
      <w:lvlJc w:val="left"/>
      <w:pPr>
        <w:tabs>
          <w:tab w:val="num" w:pos="0"/>
        </w:tabs>
        <w:ind w:left="284" w:hanging="284"/>
      </w:pPr>
      <w:rPr>
        <w:rFonts w:ascii="Arial" w:hAnsi="Arial" w:hint="default"/>
        <w:sz w:val="20"/>
      </w:rPr>
    </w:lvl>
    <w:lvl w:ilvl="1">
      <w:start w:val="1"/>
      <w:numFmt w:val="decimal"/>
      <w:lvlText w:val="%1.%2."/>
      <w:lvlJc w:val="left"/>
      <w:pPr>
        <w:tabs>
          <w:tab w:val="num" w:pos="992"/>
        </w:tabs>
        <w:ind w:left="992" w:hanging="42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701"/>
        </w:tabs>
        <w:ind w:left="1985" w:hanging="284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268"/>
        </w:tabs>
        <w:ind w:left="2552" w:hanging="284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835"/>
        </w:tabs>
        <w:ind w:left="3119" w:hanging="284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3402"/>
        </w:tabs>
        <w:ind w:left="3686" w:hanging="284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969"/>
        </w:tabs>
        <w:ind w:left="4253" w:hanging="284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4536"/>
        </w:tabs>
        <w:ind w:left="4820" w:hanging="284"/>
      </w:pPr>
      <w:rPr>
        <w:rFonts w:hint="default"/>
      </w:rPr>
    </w:lvl>
  </w:abstractNum>
  <w:abstractNum w:abstractNumId="2" w15:restartNumberingAfterBreak="0">
    <w:nsid w:val="622A21F9"/>
    <w:multiLevelType w:val="hybridMultilevel"/>
    <w:tmpl w:val="8E8C1D20"/>
    <w:lvl w:ilvl="0" w:tplc="791466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6D3D1238"/>
    <w:multiLevelType w:val="hybridMultilevel"/>
    <w:tmpl w:val="26501F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5572"/>
    <w:rsid w:val="00012761"/>
    <w:rsid w:val="0009570A"/>
    <w:rsid w:val="00161044"/>
    <w:rsid w:val="001B5746"/>
    <w:rsid w:val="001C2D0C"/>
    <w:rsid w:val="00242166"/>
    <w:rsid w:val="00297964"/>
    <w:rsid w:val="003377D2"/>
    <w:rsid w:val="003456AA"/>
    <w:rsid w:val="003D10A6"/>
    <w:rsid w:val="003D518B"/>
    <w:rsid w:val="00614A49"/>
    <w:rsid w:val="00695E62"/>
    <w:rsid w:val="007B38F9"/>
    <w:rsid w:val="007D5572"/>
    <w:rsid w:val="008B63CE"/>
    <w:rsid w:val="00962F56"/>
    <w:rsid w:val="00A324DE"/>
    <w:rsid w:val="00AA43C3"/>
    <w:rsid w:val="00B17617"/>
    <w:rsid w:val="00B54B63"/>
    <w:rsid w:val="00B626CA"/>
    <w:rsid w:val="00BB4A23"/>
    <w:rsid w:val="00C47904"/>
    <w:rsid w:val="00C95491"/>
    <w:rsid w:val="00D7569D"/>
    <w:rsid w:val="00D76D2A"/>
    <w:rsid w:val="00E230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9D03242-DCC9-48FC-9A00-16D40516CB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Pr>
      <w:sz w:val="20"/>
      <w:szCs w:val="20"/>
    </w:rPr>
  </w:style>
  <w:style w:type="paragraph" w:styleId="1">
    <w:name w:val="heading 1"/>
    <w:basedOn w:val="a0"/>
    <w:link w:val="10"/>
    <w:uiPriority w:val="9"/>
    <w:qFormat/>
    <w:pPr>
      <w:spacing w:before="100" w:beforeAutospacing="1" w:after="100" w:afterAutospacing="1"/>
      <w:outlineLvl w:val="0"/>
    </w:pPr>
    <w:rPr>
      <w:b/>
      <w:bCs/>
      <w:sz w:val="48"/>
      <w:szCs w:val="48"/>
    </w:rPr>
  </w:style>
  <w:style w:type="paragraph" w:styleId="2">
    <w:name w:val="heading 2"/>
    <w:basedOn w:val="a0"/>
    <w:next w:val="a0"/>
    <w:link w:val="20"/>
    <w:uiPriority w:val="9"/>
    <w:qFormat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0"/>
    <w:next w:val="a0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0"/>
    <w:next w:val="a0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0"/>
    <w:next w:val="a0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0"/>
    <w:next w:val="a0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0"/>
    <w:next w:val="a0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0"/>
    <w:next w:val="a0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0"/>
    <w:next w:val="a0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11">
    <w:name w:val="Plain Table 1"/>
    <w:basedOn w:val="a2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1">
    <w:name w:val="Plain Table 2"/>
    <w:basedOn w:val="a2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2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2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2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2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-2">
    <w:name w:val="Grid Table 2"/>
    <w:basedOn w:val="a2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-3">
    <w:name w:val="Grid Table 3"/>
    <w:basedOn w:val="a2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-4">
    <w:name w:val="Grid Table 4"/>
    <w:basedOn w:val="a2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-5">
    <w:name w:val="Grid Table 5 Dark"/>
    <w:basedOn w:val="a2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styleId="-6">
    <w:name w:val="Grid Table 6 Colorful"/>
    <w:basedOn w:val="a2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7">
    <w:name w:val="Grid Table 7 Colorful"/>
    <w:basedOn w:val="a2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10">
    <w:name w:val="List Table 1 Light"/>
    <w:basedOn w:val="a2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styleId="-20">
    <w:name w:val="List Table 2"/>
    <w:basedOn w:val="a2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-30">
    <w:name w:val="List Table 3"/>
    <w:basedOn w:val="a2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-40">
    <w:name w:val="List Table 4"/>
    <w:basedOn w:val="a2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-50">
    <w:name w:val="List Table 5 Dark"/>
    <w:basedOn w:val="a2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styleId="-60">
    <w:name w:val="List Table 6 Colorful"/>
    <w:basedOn w:val="a2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-70">
    <w:name w:val="List Table 7 Colorful"/>
    <w:basedOn w:val="a2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EndnoteTextChar">
    <w:name w:val="Endnote Text Char"/>
    <w:uiPriority w:val="99"/>
    <w:rPr>
      <w:sz w:val="20"/>
    </w:rPr>
  </w:style>
  <w:style w:type="paragraph" w:styleId="a4">
    <w:name w:val="endnote text"/>
    <w:basedOn w:val="a0"/>
    <w:link w:val="a5"/>
    <w:uiPriority w:val="99"/>
    <w:semiHidden/>
    <w:unhideWhenUsed/>
  </w:style>
  <w:style w:type="character" w:customStyle="1" w:styleId="a5">
    <w:name w:val="Текст концевой сноски Знак"/>
    <w:link w:val="a4"/>
    <w:uiPriority w:val="99"/>
    <w:rPr>
      <w:sz w:val="20"/>
    </w:rPr>
  </w:style>
  <w:style w:type="character" w:styleId="a6">
    <w:name w:val="endnote reference"/>
    <w:basedOn w:val="a1"/>
    <w:uiPriority w:val="99"/>
    <w:semiHidden/>
    <w:unhideWhenUsed/>
    <w:rPr>
      <w:vertAlign w:val="superscript"/>
    </w:rPr>
  </w:style>
  <w:style w:type="paragraph" w:styleId="a7">
    <w:name w:val="table of figures"/>
    <w:basedOn w:val="a0"/>
    <w:next w:val="a0"/>
    <w:uiPriority w:val="99"/>
    <w:unhideWhenUsed/>
  </w:style>
  <w:style w:type="character" w:customStyle="1" w:styleId="Heading3Char">
    <w:name w:val="Heading 3 Char"/>
    <w:basedOn w:val="a1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1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1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1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1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1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1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1"/>
    <w:uiPriority w:val="10"/>
    <w:rPr>
      <w:sz w:val="48"/>
      <w:szCs w:val="48"/>
    </w:rPr>
  </w:style>
  <w:style w:type="character" w:customStyle="1" w:styleId="SubtitleChar">
    <w:name w:val="Subtitle Char"/>
    <w:basedOn w:val="a1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paragraph" w:styleId="a8">
    <w:name w:val="caption"/>
    <w:basedOn w:val="a0"/>
    <w:next w:val="a0"/>
    <w:link w:val="a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a9">
    <w:name w:val="Название объекта Знак"/>
    <w:link w:val="a8"/>
    <w:uiPriority w:val="35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Heading1Char">
    <w:name w:val="Heading 1 Char"/>
    <w:basedOn w:val="a1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1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1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1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1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1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1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1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1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a">
    <w:name w:val="No Spacing"/>
    <w:uiPriority w:val="1"/>
    <w:qFormat/>
  </w:style>
  <w:style w:type="paragraph" w:styleId="ab">
    <w:name w:val="Title"/>
    <w:basedOn w:val="a0"/>
    <w:next w:val="a0"/>
    <w:link w:val="ac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c">
    <w:name w:val="Заголовок Знак"/>
    <w:basedOn w:val="a1"/>
    <w:link w:val="ab"/>
    <w:uiPriority w:val="10"/>
    <w:rPr>
      <w:sz w:val="48"/>
      <w:szCs w:val="48"/>
    </w:rPr>
  </w:style>
  <w:style w:type="paragraph" w:styleId="ad">
    <w:name w:val="Subtitle"/>
    <w:basedOn w:val="a0"/>
    <w:next w:val="a0"/>
    <w:link w:val="ae"/>
    <w:uiPriority w:val="11"/>
    <w:qFormat/>
    <w:pPr>
      <w:spacing w:before="200" w:after="200"/>
    </w:pPr>
    <w:rPr>
      <w:sz w:val="24"/>
      <w:szCs w:val="24"/>
    </w:rPr>
  </w:style>
  <w:style w:type="character" w:customStyle="1" w:styleId="ae">
    <w:name w:val="Подзаголовок Знак"/>
    <w:basedOn w:val="a1"/>
    <w:link w:val="ad"/>
    <w:uiPriority w:val="11"/>
    <w:rPr>
      <w:sz w:val="24"/>
      <w:szCs w:val="24"/>
    </w:rPr>
  </w:style>
  <w:style w:type="paragraph" w:styleId="22">
    <w:name w:val="Quote"/>
    <w:basedOn w:val="a0"/>
    <w:next w:val="a0"/>
    <w:link w:val="23"/>
    <w:uiPriority w:val="29"/>
    <w:qFormat/>
    <w:pP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</w:rPr>
  </w:style>
  <w:style w:type="paragraph" w:styleId="af">
    <w:name w:val="Intense Quote"/>
    <w:basedOn w:val="a0"/>
    <w:next w:val="a0"/>
    <w:link w:val="af0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f0">
    <w:name w:val="Выделенная цитата Знак"/>
    <w:link w:val="af"/>
    <w:uiPriority w:val="30"/>
    <w:rPr>
      <w:i/>
    </w:rPr>
  </w:style>
  <w:style w:type="character" w:customStyle="1" w:styleId="HeaderChar">
    <w:name w:val="Header Char"/>
    <w:basedOn w:val="a1"/>
    <w:uiPriority w:val="99"/>
  </w:style>
  <w:style w:type="character" w:customStyle="1" w:styleId="FooterChar">
    <w:name w:val="Footer Char"/>
    <w:basedOn w:val="a1"/>
    <w:uiPriority w:val="99"/>
  </w:style>
  <w:style w:type="table" w:customStyle="1" w:styleId="TableGridLight">
    <w:name w:val="Table Grid Light"/>
    <w:basedOn w:val="a2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110">
    <w:name w:val="Таблица простая 11"/>
    <w:basedOn w:val="a2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auto" w:fill="F2F2F2" w:themeFill="text1" w:themeFillTint="0D"/>
      </w:tcPr>
    </w:tblStylePr>
    <w:tblStylePr w:type="band1Horz">
      <w:tblPr/>
      <w:tcPr>
        <w:shd w:val="clear" w:color="auto" w:fill="F2F2F2" w:themeFill="text1" w:themeFillTint="0D"/>
      </w:tcPr>
    </w:tblStylePr>
  </w:style>
  <w:style w:type="table" w:customStyle="1" w:styleId="210">
    <w:name w:val="Таблица простая 21"/>
    <w:basedOn w:val="a2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0">
    <w:name w:val="Таблица простая 31"/>
    <w:basedOn w:val="a2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410">
    <w:name w:val="Таблица простая 41"/>
    <w:basedOn w:val="a2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510">
    <w:name w:val="Таблица простая 51"/>
    <w:basedOn w:val="a2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-11">
    <w:name w:val="Таблица-сетка 1 светлая1"/>
    <w:basedOn w:val="a2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2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2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2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2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2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2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">
    <w:name w:val="Таблица-сетка 21"/>
    <w:basedOn w:val="a2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2-Accent1">
    <w:name w:val="Grid Table 2 - Accent 1"/>
    <w:basedOn w:val="a2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</w:style>
  <w:style w:type="table" w:customStyle="1" w:styleId="GridTable2-Accent2">
    <w:name w:val="Grid Table 2 - Accent 2"/>
    <w:basedOn w:val="a2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2-Accent3">
    <w:name w:val="Grid Table 2 - Accent 3"/>
    <w:basedOn w:val="a2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2-Accent4">
    <w:name w:val="Grid Table 2 - Accent 4"/>
    <w:basedOn w:val="a2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2-Accent5">
    <w:name w:val="Grid Table 2 - Accent 5"/>
    <w:basedOn w:val="a2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2-Accent6">
    <w:name w:val="Grid Table 2 - Accent 6"/>
    <w:basedOn w:val="a2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-31">
    <w:name w:val="Таблица-сетка 31"/>
    <w:basedOn w:val="a2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3-Accent1">
    <w:name w:val="Grid Table 3 - Accent 1"/>
    <w:basedOn w:val="a2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</w:style>
  <w:style w:type="table" w:customStyle="1" w:styleId="GridTable3-Accent2">
    <w:name w:val="Grid Table 3 - Accent 2"/>
    <w:basedOn w:val="a2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3-Accent3">
    <w:name w:val="Grid Table 3 - Accent 3"/>
    <w:basedOn w:val="a2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3-Accent4">
    <w:name w:val="Grid Table 3 - Accent 4"/>
    <w:basedOn w:val="a2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3-Accent5">
    <w:name w:val="Grid Table 3 - Accent 5"/>
    <w:basedOn w:val="a2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3-Accent6">
    <w:name w:val="Grid Table 3 - Accent 6"/>
    <w:basedOn w:val="a2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-41">
    <w:name w:val="Таблица-сетка 41"/>
    <w:basedOn w:val="a2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4-Accent1">
    <w:name w:val="Grid Table 4 - Accent 1"/>
    <w:basedOn w:val="a2"/>
    <w:uiPriority w:val="5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auto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CE6F2" w:themeFill="accent1" w:themeFillTint="32"/>
      </w:tcPr>
    </w:tblStylePr>
  </w:style>
  <w:style w:type="table" w:customStyle="1" w:styleId="GridTable4-Accent2">
    <w:name w:val="Grid Table 4 - Accent 2"/>
    <w:basedOn w:val="a2"/>
    <w:uiPriority w:val="5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auto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4-Accent3">
    <w:name w:val="Grid Table 4 - Accent 3"/>
    <w:basedOn w:val="a2"/>
    <w:uiPriority w:val="5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auto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4-Accent4">
    <w:name w:val="Grid Table 4 - Accent 4"/>
    <w:basedOn w:val="a2"/>
    <w:uiPriority w:val="5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auto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4-Accent5">
    <w:name w:val="Grid Table 4 - Accent 5"/>
    <w:basedOn w:val="a2"/>
    <w:uiPriority w:val="5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auto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4-Accent6">
    <w:name w:val="Grid Table 4 - Accent 6"/>
    <w:basedOn w:val="a2"/>
    <w:uiPriority w:val="5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auto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-51">
    <w:name w:val="Таблица-сетка 5 темная1"/>
    <w:basedOn w:val="a2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band1Vert">
      <w:tblPr/>
      <w:tcPr>
        <w:shd w:val="clear" w:color="auto" w:fill="8A8A8A" w:themeFill="text1" w:themeFillTint="75"/>
      </w:tcPr>
    </w:tblStylePr>
    <w:tblStylePr w:type="band1Horz">
      <w:tblPr/>
      <w:tcPr>
        <w:shd w:val="clear" w:color="auto" w:fill="8A8A8A" w:themeFill="text1" w:themeFillTint="75"/>
      </w:tcPr>
    </w:tblStylePr>
  </w:style>
  <w:style w:type="table" w:customStyle="1" w:styleId="GridTable5Dark-Accent1">
    <w:name w:val="Grid Table 5 Dark- Accent 1"/>
    <w:basedOn w:val="a2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band1Vert">
      <w:tblPr/>
      <w:tcPr>
        <w:shd w:val="clear" w:color="auto" w:fill="AEC4E0" w:themeFill="accent1" w:themeFillTint="75"/>
      </w:tcPr>
    </w:tblStylePr>
    <w:tblStylePr w:type="band1Horz">
      <w:tblPr/>
      <w:tcPr>
        <w:shd w:val="clear" w:color="auto" w:fill="AEC4E0" w:themeFill="accent1" w:themeFillTint="75"/>
      </w:tcPr>
    </w:tblStylePr>
  </w:style>
  <w:style w:type="table" w:customStyle="1" w:styleId="GridTable5Dark-Accent2">
    <w:name w:val="Grid Table 5 Dark - Accent 2"/>
    <w:basedOn w:val="a2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band1Vert">
      <w:tblPr/>
      <w:tcPr>
        <w:shd w:val="clear" w:color="auto" w:fill="E2AEAD" w:themeFill="accent2" w:themeFillTint="75"/>
      </w:tcPr>
    </w:tblStylePr>
    <w:tblStylePr w:type="band1Horz">
      <w:tblPr/>
      <w:tcPr>
        <w:shd w:val="clear" w:color="auto" w:fill="E2AEAD" w:themeFill="accent2" w:themeFillTint="75"/>
      </w:tcPr>
    </w:tblStylePr>
  </w:style>
  <w:style w:type="table" w:customStyle="1" w:styleId="GridTable5Dark-Accent3">
    <w:name w:val="Grid Table 5 Dark - Accent 3"/>
    <w:basedOn w:val="a2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band1Vert">
      <w:tblPr/>
      <w:tcPr>
        <w:shd w:val="clear" w:color="auto" w:fill="D0DFB2" w:themeFill="accent3" w:themeFillTint="75"/>
      </w:tcPr>
    </w:tblStylePr>
    <w:tblStylePr w:type="band1Horz">
      <w:tblPr/>
      <w:tcPr>
        <w:shd w:val="clear" w:color="auto" w:fill="D0DFB2" w:themeFill="accent3" w:themeFillTint="75"/>
      </w:tcPr>
    </w:tblStylePr>
  </w:style>
  <w:style w:type="table" w:customStyle="1" w:styleId="GridTable5Dark-Accent4">
    <w:name w:val="Grid Table 5 Dark- Accent 4"/>
    <w:basedOn w:val="a2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band1Vert">
      <w:tblPr/>
      <w:tcPr>
        <w:shd w:val="clear" w:color="auto" w:fill="C4B7D4" w:themeFill="accent4" w:themeFillTint="75"/>
      </w:tcPr>
    </w:tblStylePr>
    <w:tblStylePr w:type="band1Horz">
      <w:tblPr/>
      <w:tcPr>
        <w:shd w:val="clear" w:color="auto" w:fill="C4B7D4" w:themeFill="accent4" w:themeFillTint="75"/>
      </w:tcPr>
    </w:tblStylePr>
  </w:style>
  <w:style w:type="table" w:customStyle="1" w:styleId="GridTable5Dark-Accent5">
    <w:name w:val="Grid Table 5 Dark - Accent 5"/>
    <w:basedOn w:val="a2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band1Vert">
      <w:tblPr/>
      <w:tcPr>
        <w:shd w:val="clear" w:color="auto" w:fill="ACD8E4" w:themeFill="accent5" w:themeFillTint="75"/>
      </w:tcPr>
    </w:tblStylePr>
    <w:tblStylePr w:type="band1Horz">
      <w:tblPr/>
      <w:tcPr>
        <w:shd w:val="clear" w:color="auto" w:fill="ACD8E4" w:themeFill="accent5" w:themeFillTint="75"/>
      </w:tcPr>
    </w:tblStylePr>
  </w:style>
  <w:style w:type="table" w:customStyle="1" w:styleId="GridTable5Dark-Accent6">
    <w:name w:val="Grid Table 5 Dark - Accent 6"/>
    <w:basedOn w:val="a2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band1Vert">
      <w:tblPr/>
      <w:tcPr>
        <w:shd w:val="clear" w:color="auto" w:fill="FBCEAA" w:themeFill="accent6" w:themeFillTint="75"/>
      </w:tcPr>
    </w:tblStylePr>
    <w:tblStylePr w:type="band1Horz">
      <w:tblPr/>
      <w:tcPr>
        <w:shd w:val="clear" w:color="auto" w:fill="FBCEAA" w:themeFill="accent6" w:themeFillTint="75"/>
      </w:tcPr>
    </w:tblStylePr>
  </w:style>
  <w:style w:type="table" w:customStyle="1" w:styleId="-61">
    <w:name w:val="Таблица-сетка 6 цветная1"/>
    <w:basedOn w:val="a2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2"/>
    <w:uiPriority w:val="99"/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2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2"/>
    <w:uiPriority w:val="99"/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2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2"/>
    <w:uiPriority w:val="99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2"/>
    <w:uiPriority w:val="99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-71">
    <w:name w:val="Таблица-сетка 7 цветная1"/>
    <w:basedOn w:val="a2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2"/>
    <w:uiPriority w:val="99"/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2"/>
    <w:uiPriority w:val="99"/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2"/>
    <w:uiPriority w:val="99"/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auto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2"/>
    <w:uiPriority w:val="99"/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2"/>
    <w:uiPriority w:val="99"/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2"/>
    <w:uiPriority w:val="99"/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auto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-110">
    <w:name w:val="Список-таблица 1 светлая1"/>
    <w:basedOn w:val="a2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tblPr/>
      <w:tcPr>
        <w:shd w:val="clear" w:color="auto" w:fill="BFBFBF" w:themeFill="text1" w:themeFillTint="40"/>
      </w:tcPr>
    </w:tblStylePr>
  </w:style>
  <w:style w:type="table" w:customStyle="1" w:styleId="ListTable1Light-Accent1">
    <w:name w:val="List Table 1 Light - Accent 1"/>
    <w:basedOn w:val="a2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tblPr/>
      <w:tcPr>
        <w:shd w:val="clear" w:color="auto" w:fill="D2DFEE" w:themeFill="accent1" w:themeFillTint="40"/>
      </w:tcPr>
    </w:tblStylePr>
  </w:style>
  <w:style w:type="table" w:customStyle="1" w:styleId="ListTable1Light-Accent2">
    <w:name w:val="List Table 1 Light - Accent 2"/>
    <w:basedOn w:val="a2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tblPr/>
      <w:tcPr>
        <w:shd w:val="clear" w:color="auto" w:fill="EFD2D2" w:themeFill="accent2" w:themeFillTint="40"/>
      </w:tcPr>
    </w:tblStylePr>
  </w:style>
  <w:style w:type="table" w:customStyle="1" w:styleId="ListTable1Light-Accent3">
    <w:name w:val="List Table 1 Light - Accent 3"/>
    <w:basedOn w:val="a2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tblPr/>
      <w:tcPr>
        <w:shd w:val="clear" w:color="auto" w:fill="E5EED5" w:themeFill="accent3" w:themeFillTint="40"/>
      </w:tcPr>
    </w:tblStylePr>
  </w:style>
  <w:style w:type="table" w:customStyle="1" w:styleId="ListTable1Light-Accent4">
    <w:name w:val="List Table 1 Light - Accent 4"/>
    <w:basedOn w:val="a2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tblPr/>
      <w:tcPr>
        <w:shd w:val="clear" w:color="auto" w:fill="DFD8E7" w:themeFill="accent4" w:themeFillTint="40"/>
      </w:tcPr>
    </w:tblStylePr>
  </w:style>
  <w:style w:type="table" w:customStyle="1" w:styleId="ListTable1Light-Accent5">
    <w:name w:val="List Table 1 Light - Accent 5"/>
    <w:basedOn w:val="a2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tblPr/>
      <w:tcPr>
        <w:shd w:val="clear" w:color="auto" w:fill="D1EAF0" w:themeFill="accent5" w:themeFillTint="40"/>
      </w:tcPr>
    </w:tblStylePr>
  </w:style>
  <w:style w:type="table" w:customStyle="1" w:styleId="ListTable1Light-Accent6">
    <w:name w:val="List Table 1 Light - Accent 6"/>
    <w:basedOn w:val="a2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tblPr/>
      <w:tcPr>
        <w:shd w:val="clear" w:color="auto" w:fill="FDE4D0" w:themeFill="accent6" w:themeFillTint="40"/>
      </w:tcPr>
    </w:tblStylePr>
  </w:style>
  <w:style w:type="table" w:customStyle="1" w:styleId="-210">
    <w:name w:val="Список-таблица 21"/>
    <w:basedOn w:val="a2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2-Accent1">
    <w:name w:val="List Table 2 - Accent 1"/>
    <w:basedOn w:val="a2"/>
    <w:uiPriority w:val="99"/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</w:style>
  <w:style w:type="table" w:customStyle="1" w:styleId="ListTable2-Accent2">
    <w:name w:val="List Table 2 - Accent 2"/>
    <w:basedOn w:val="a2"/>
    <w:uiPriority w:val="99"/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</w:style>
  <w:style w:type="table" w:customStyle="1" w:styleId="ListTable2-Accent3">
    <w:name w:val="List Table 2 - Accent 3"/>
    <w:basedOn w:val="a2"/>
    <w:uiPriority w:val="99"/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</w:style>
  <w:style w:type="table" w:customStyle="1" w:styleId="ListTable2-Accent4">
    <w:name w:val="List Table 2 - Accent 4"/>
    <w:basedOn w:val="a2"/>
    <w:uiPriority w:val="99"/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</w:style>
  <w:style w:type="table" w:customStyle="1" w:styleId="ListTable2-Accent5">
    <w:name w:val="List Table 2 - Accent 5"/>
    <w:basedOn w:val="a2"/>
    <w:uiPriority w:val="99"/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</w:style>
  <w:style w:type="table" w:customStyle="1" w:styleId="ListTable2-Accent6">
    <w:name w:val="List Table 2 - Accent 6"/>
    <w:basedOn w:val="a2"/>
    <w:uiPriority w:val="99"/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</w:style>
  <w:style w:type="table" w:customStyle="1" w:styleId="-310">
    <w:name w:val="Список-таблица 31"/>
    <w:basedOn w:val="a2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2"/>
    <w:uiPriority w:val="99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2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2"/>
    <w:uiPriority w:val="99"/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2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2"/>
    <w:uiPriority w:val="99"/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2"/>
    <w:uiPriority w:val="99"/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0">
    <w:name w:val="Список-таблица 41"/>
    <w:basedOn w:val="a2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4-Accent1">
    <w:name w:val="List Table 4 - Accent 1"/>
    <w:basedOn w:val="a2"/>
    <w:uiPriority w:val="9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</w:style>
  <w:style w:type="table" w:customStyle="1" w:styleId="ListTable4-Accent2">
    <w:name w:val="List Table 4 - Accent 2"/>
    <w:basedOn w:val="a2"/>
    <w:uiPriority w:val="9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</w:style>
  <w:style w:type="table" w:customStyle="1" w:styleId="ListTable4-Accent3">
    <w:name w:val="List Table 4 - Accent 3"/>
    <w:basedOn w:val="a2"/>
    <w:uiPriority w:val="9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</w:style>
  <w:style w:type="table" w:customStyle="1" w:styleId="ListTable4-Accent4">
    <w:name w:val="List Table 4 - Accent 4"/>
    <w:basedOn w:val="a2"/>
    <w:uiPriority w:val="9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</w:style>
  <w:style w:type="table" w:customStyle="1" w:styleId="ListTable4-Accent5">
    <w:name w:val="List Table 4 - Accent 5"/>
    <w:basedOn w:val="a2"/>
    <w:uiPriority w:val="9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</w:style>
  <w:style w:type="table" w:customStyle="1" w:styleId="ListTable4-Accent6">
    <w:name w:val="List Table 4 - Accent 6"/>
    <w:basedOn w:val="a2"/>
    <w:uiPriority w:val="9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</w:style>
  <w:style w:type="table" w:customStyle="1" w:styleId="-510">
    <w:name w:val="Список-таблица 5 темная1"/>
    <w:basedOn w:val="a2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auto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auto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</w:style>
  <w:style w:type="table" w:customStyle="1" w:styleId="ListTable5Dark-Accent1">
    <w:name w:val="List Table 5 Dark - Accent 1"/>
    <w:basedOn w:val="a2"/>
    <w:uiPriority w:val="99"/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auto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auto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 w:themeFill="accent1"/>
      </w:tcPr>
    </w:tblStylePr>
  </w:style>
  <w:style w:type="table" w:customStyle="1" w:styleId="ListTable5Dark-Accent2">
    <w:name w:val="List Table 5 Dark - Accent 2"/>
    <w:basedOn w:val="a2"/>
    <w:uiPriority w:val="99"/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auto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auto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 w:themeFill="accent2" w:themeFillTint="97"/>
      </w:tcPr>
    </w:tblStylePr>
  </w:style>
  <w:style w:type="table" w:customStyle="1" w:styleId="ListTable5Dark-Accent3">
    <w:name w:val="List Table 5 Dark - Accent 3"/>
    <w:basedOn w:val="a2"/>
    <w:uiPriority w:val="99"/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auto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auto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 w:themeFill="accent3" w:themeFillTint="98"/>
      </w:tcPr>
    </w:tblStylePr>
  </w:style>
  <w:style w:type="table" w:customStyle="1" w:styleId="ListTable5Dark-Accent4">
    <w:name w:val="List Table 5 Dark - Accent 4"/>
    <w:basedOn w:val="a2"/>
    <w:uiPriority w:val="99"/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auto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auto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 w:themeFill="accent4" w:themeFillTint="9A"/>
      </w:tcPr>
    </w:tblStylePr>
  </w:style>
  <w:style w:type="table" w:customStyle="1" w:styleId="ListTable5Dark-Accent5">
    <w:name w:val="List Table 5 Dark - Accent 5"/>
    <w:basedOn w:val="a2"/>
    <w:uiPriority w:val="99"/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auto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auto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 w:themeFill="accent5" w:themeFillTint="9A"/>
      </w:tcPr>
    </w:tblStylePr>
  </w:style>
  <w:style w:type="table" w:customStyle="1" w:styleId="ListTable5Dark-Accent6">
    <w:name w:val="List Table 5 Dark - Accent 6"/>
    <w:basedOn w:val="a2"/>
    <w:uiPriority w:val="99"/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auto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auto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 w:themeFill="accent6" w:themeFillTint="98"/>
      </w:tcPr>
    </w:tblStylePr>
  </w:style>
  <w:style w:type="table" w:customStyle="1" w:styleId="-610">
    <w:name w:val="Список-таблица 6 цветная1"/>
    <w:basedOn w:val="a2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2"/>
    <w:uiPriority w:val="99"/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2"/>
    <w:uiPriority w:val="99"/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2"/>
    <w:uiPriority w:val="99"/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2"/>
    <w:uiPriority w:val="99"/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2"/>
    <w:uiPriority w:val="99"/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2"/>
    <w:uiPriority w:val="99"/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2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2"/>
    <w:uiPriority w:val="99"/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auto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2"/>
    <w:uiPriority w:val="99"/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2"/>
    <w:uiPriority w:val="99"/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2"/>
    <w:uiPriority w:val="99"/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2"/>
    <w:uiPriority w:val="99"/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2"/>
    <w:uiPriority w:val="99"/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2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Lined-Accent1">
    <w:name w:val="Lined - Accent 1"/>
    <w:basedOn w:val="a2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</w:style>
  <w:style w:type="table" w:customStyle="1" w:styleId="Lined-Accent2">
    <w:name w:val="Lined - Accent 2"/>
    <w:basedOn w:val="a2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Lined-Accent3">
    <w:name w:val="Lined - Accent 3"/>
    <w:basedOn w:val="a2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Lined-Accent4">
    <w:name w:val="Lined - Accent 4"/>
    <w:basedOn w:val="a2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Lined-Accent5">
    <w:name w:val="Lined - Accent 5"/>
    <w:basedOn w:val="a2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Lined-Accent6">
    <w:name w:val="Lined - Accent 6"/>
    <w:basedOn w:val="a2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BorderedLined-Accent">
    <w:name w:val="Bordered &amp; Lined - Accent"/>
    <w:basedOn w:val="a2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BorderedLined-Accent1">
    <w:name w:val="Bordered &amp; Lined - Accent 1"/>
    <w:basedOn w:val="a2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</w:style>
  <w:style w:type="table" w:customStyle="1" w:styleId="BorderedLined-Accent2">
    <w:name w:val="Bordered &amp; Lined - Accent 2"/>
    <w:basedOn w:val="a2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BorderedLined-Accent3">
    <w:name w:val="Bordered &amp; Lined - Accent 3"/>
    <w:basedOn w:val="a2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BorderedLined-Accent4">
    <w:name w:val="Bordered &amp; Lined - Accent 4"/>
    <w:basedOn w:val="a2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BorderedLined-Accent5">
    <w:name w:val="Bordered &amp; Lined - Accent 5"/>
    <w:basedOn w:val="a2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BorderedLined-Accent6">
    <w:name w:val="Bordered &amp; Lined - Accent 6"/>
    <w:basedOn w:val="a2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Bordered">
    <w:name w:val="Bordered"/>
    <w:basedOn w:val="a2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2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2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2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2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2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2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1">
    <w:name w:val="footnote text"/>
    <w:basedOn w:val="a0"/>
    <w:link w:val="af2"/>
    <w:uiPriority w:val="99"/>
    <w:semiHidden/>
    <w:unhideWhenUsed/>
    <w:pPr>
      <w:spacing w:after="40"/>
    </w:pPr>
    <w:rPr>
      <w:sz w:val="18"/>
    </w:rPr>
  </w:style>
  <w:style w:type="character" w:customStyle="1" w:styleId="af2">
    <w:name w:val="Текст сноски Знак"/>
    <w:link w:val="af1"/>
    <w:uiPriority w:val="99"/>
    <w:rPr>
      <w:sz w:val="18"/>
    </w:rPr>
  </w:style>
  <w:style w:type="character" w:styleId="af3">
    <w:name w:val="footnote reference"/>
    <w:basedOn w:val="a1"/>
    <w:uiPriority w:val="99"/>
    <w:unhideWhenUsed/>
    <w:rPr>
      <w:vertAlign w:val="superscript"/>
    </w:rPr>
  </w:style>
  <w:style w:type="paragraph" w:styleId="12">
    <w:name w:val="toc 1"/>
    <w:basedOn w:val="a0"/>
    <w:next w:val="a0"/>
    <w:uiPriority w:val="39"/>
    <w:unhideWhenUsed/>
    <w:pPr>
      <w:spacing w:after="57"/>
    </w:pPr>
  </w:style>
  <w:style w:type="paragraph" w:styleId="24">
    <w:name w:val="toc 2"/>
    <w:basedOn w:val="a0"/>
    <w:next w:val="a0"/>
    <w:uiPriority w:val="39"/>
    <w:unhideWhenUsed/>
    <w:pPr>
      <w:spacing w:after="57"/>
      <w:ind w:left="283"/>
    </w:pPr>
  </w:style>
  <w:style w:type="paragraph" w:styleId="32">
    <w:name w:val="toc 3"/>
    <w:basedOn w:val="a0"/>
    <w:next w:val="a0"/>
    <w:uiPriority w:val="39"/>
    <w:unhideWhenUsed/>
    <w:pPr>
      <w:spacing w:after="57"/>
      <w:ind w:left="567"/>
    </w:pPr>
  </w:style>
  <w:style w:type="paragraph" w:styleId="42">
    <w:name w:val="toc 4"/>
    <w:basedOn w:val="a0"/>
    <w:next w:val="a0"/>
    <w:uiPriority w:val="39"/>
    <w:unhideWhenUsed/>
    <w:pPr>
      <w:spacing w:after="57"/>
      <w:ind w:left="850"/>
    </w:pPr>
  </w:style>
  <w:style w:type="paragraph" w:styleId="52">
    <w:name w:val="toc 5"/>
    <w:basedOn w:val="a0"/>
    <w:next w:val="a0"/>
    <w:uiPriority w:val="39"/>
    <w:unhideWhenUsed/>
    <w:pPr>
      <w:spacing w:after="57"/>
      <w:ind w:left="1134"/>
    </w:pPr>
  </w:style>
  <w:style w:type="paragraph" w:styleId="61">
    <w:name w:val="toc 6"/>
    <w:basedOn w:val="a0"/>
    <w:next w:val="a0"/>
    <w:uiPriority w:val="39"/>
    <w:unhideWhenUsed/>
    <w:pPr>
      <w:spacing w:after="57"/>
      <w:ind w:left="1417"/>
    </w:pPr>
  </w:style>
  <w:style w:type="paragraph" w:styleId="71">
    <w:name w:val="toc 7"/>
    <w:basedOn w:val="a0"/>
    <w:next w:val="a0"/>
    <w:uiPriority w:val="39"/>
    <w:unhideWhenUsed/>
    <w:pPr>
      <w:spacing w:after="57"/>
      <w:ind w:left="1701"/>
    </w:pPr>
  </w:style>
  <w:style w:type="paragraph" w:styleId="81">
    <w:name w:val="toc 8"/>
    <w:basedOn w:val="a0"/>
    <w:next w:val="a0"/>
    <w:uiPriority w:val="39"/>
    <w:unhideWhenUsed/>
    <w:pPr>
      <w:spacing w:after="57"/>
      <w:ind w:left="1984"/>
    </w:pPr>
  </w:style>
  <w:style w:type="paragraph" w:styleId="91">
    <w:name w:val="toc 9"/>
    <w:basedOn w:val="a0"/>
    <w:next w:val="a0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character" w:customStyle="1" w:styleId="10">
    <w:name w:val="Заголовок 1 Знак"/>
    <w:basedOn w:val="a1"/>
    <w:link w:val="1"/>
    <w:uiPriority w:val="99"/>
    <w:rPr>
      <w:rFonts w:cs="Times New Roman"/>
      <w:b/>
      <w:sz w:val="48"/>
    </w:rPr>
  </w:style>
  <w:style w:type="character" w:customStyle="1" w:styleId="20">
    <w:name w:val="Заголовок 2 Знак"/>
    <w:basedOn w:val="a1"/>
    <w:link w:val="2"/>
    <w:rPr>
      <w:rFonts w:ascii="Cambria" w:hAnsi="Cambria" w:cs="Times New Roman"/>
      <w:b/>
      <w:i/>
      <w:sz w:val="28"/>
    </w:rPr>
  </w:style>
  <w:style w:type="paragraph" w:styleId="af5">
    <w:name w:val="header"/>
    <w:basedOn w:val="a0"/>
    <w:link w:val="af6"/>
    <w:uiPriority w:val="99"/>
    <w:pPr>
      <w:tabs>
        <w:tab w:val="center" w:pos="4153"/>
        <w:tab w:val="right" w:pos="8306"/>
      </w:tabs>
      <w:spacing w:before="120" w:after="240"/>
      <w:ind w:firstLine="709"/>
      <w:jc w:val="center"/>
    </w:pPr>
    <w:rPr>
      <w:b/>
      <w:caps/>
      <w:sz w:val="28"/>
    </w:rPr>
  </w:style>
  <w:style w:type="character" w:customStyle="1" w:styleId="af6">
    <w:name w:val="Верхний колонтитул Знак"/>
    <w:basedOn w:val="a1"/>
    <w:link w:val="af5"/>
    <w:uiPriority w:val="99"/>
    <w:rPr>
      <w:rFonts w:cs="Times New Roman"/>
      <w:b/>
      <w:caps/>
      <w:sz w:val="28"/>
    </w:rPr>
  </w:style>
  <w:style w:type="paragraph" w:styleId="af7">
    <w:name w:val="footer"/>
    <w:basedOn w:val="a0"/>
    <w:link w:val="af8"/>
    <w:uiPriority w:val="99"/>
    <w:pPr>
      <w:tabs>
        <w:tab w:val="center" w:pos="4153"/>
        <w:tab w:val="right" w:pos="8306"/>
      </w:tabs>
      <w:ind w:firstLine="709"/>
    </w:pPr>
    <w:rPr>
      <w:sz w:val="26"/>
    </w:rPr>
  </w:style>
  <w:style w:type="character" w:customStyle="1" w:styleId="af8">
    <w:name w:val="Нижний колонтитул Знак"/>
    <w:basedOn w:val="a1"/>
    <w:link w:val="af7"/>
    <w:uiPriority w:val="99"/>
    <w:rPr>
      <w:rFonts w:cs="Times New Roman"/>
      <w:sz w:val="26"/>
    </w:rPr>
  </w:style>
  <w:style w:type="character" w:styleId="af9">
    <w:name w:val="page number"/>
    <w:basedOn w:val="a1"/>
    <w:uiPriority w:val="99"/>
    <w:rPr>
      <w:rFonts w:cs="Times New Roman"/>
    </w:rPr>
  </w:style>
  <w:style w:type="paragraph" w:styleId="afa">
    <w:name w:val="Body Text Indent"/>
    <w:basedOn w:val="a0"/>
    <w:link w:val="afb"/>
    <w:uiPriority w:val="99"/>
    <w:pPr>
      <w:ind w:firstLine="709"/>
      <w:jc w:val="both"/>
    </w:pPr>
    <w:rPr>
      <w:sz w:val="26"/>
    </w:rPr>
  </w:style>
  <w:style w:type="character" w:customStyle="1" w:styleId="afb">
    <w:name w:val="Основной текст с отступом Знак"/>
    <w:basedOn w:val="a1"/>
    <w:link w:val="afa"/>
    <w:uiPriority w:val="99"/>
    <w:semiHidden/>
    <w:rPr>
      <w:rFonts w:cs="Times New Roman"/>
      <w:sz w:val="20"/>
      <w:szCs w:val="20"/>
    </w:rPr>
  </w:style>
  <w:style w:type="paragraph" w:customStyle="1" w:styleId="afc">
    <w:name w:val="Обращение"/>
    <w:basedOn w:val="a0"/>
    <w:next w:val="a0"/>
    <w:uiPriority w:val="99"/>
    <w:pPr>
      <w:spacing w:before="240" w:after="120"/>
      <w:jc w:val="center"/>
    </w:pPr>
    <w:rPr>
      <w:b/>
      <w:sz w:val="26"/>
    </w:rPr>
  </w:style>
  <w:style w:type="paragraph" w:customStyle="1" w:styleId="afd">
    <w:name w:val="Адресные реквизиты"/>
    <w:basedOn w:val="afe"/>
    <w:next w:val="afe"/>
    <w:uiPriority w:val="99"/>
    <w:pPr>
      <w:spacing w:after="0"/>
    </w:pPr>
    <w:rPr>
      <w:sz w:val="16"/>
    </w:rPr>
  </w:style>
  <w:style w:type="paragraph" w:customStyle="1" w:styleId="aff">
    <w:name w:val="Адресат"/>
    <w:basedOn w:val="a0"/>
    <w:pPr>
      <w:spacing w:before="120"/>
    </w:pPr>
    <w:rPr>
      <w:b/>
      <w:sz w:val="26"/>
    </w:rPr>
  </w:style>
  <w:style w:type="paragraph" w:customStyle="1" w:styleId="H4">
    <w:name w:val="H4"/>
    <w:basedOn w:val="a0"/>
    <w:next w:val="a0"/>
    <w:uiPriority w:val="99"/>
    <w:pPr>
      <w:keepNext/>
      <w:spacing w:before="100" w:after="100"/>
      <w:outlineLvl w:val="4"/>
    </w:pPr>
    <w:rPr>
      <w:b/>
      <w:sz w:val="24"/>
    </w:rPr>
  </w:style>
  <w:style w:type="paragraph" w:styleId="afe">
    <w:name w:val="Body Text"/>
    <w:basedOn w:val="a0"/>
    <w:link w:val="aff0"/>
    <w:uiPriority w:val="99"/>
    <w:pPr>
      <w:spacing w:after="120"/>
    </w:pPr>
  </w:style>
  <w:style w:type="character" w:customStyle="1" w:styleId="aff0">
    <w:name w:val="Основной текст Знак"/>
    <w:basedOn w:val="a1"/>
    <w:link w:val="afe"/>
    <w:uiPriority w:val="99"/>
    <w:rPr>
      <w:rFonts w:cs="Times New Roman"/>
    </w:rPr>
  </w:style>
  <w:style w:type="paragraph" w:styleId="25">
    <w:name w:val="Body Text Indent 2"/>
    <w:basedOn w:val="a0"/>
    <w:link w:val="26"/>
    <w:uiPriority w:val="99"/>
    <w:pPr>
      <w:ind w:firstLine="720"/>
      <w:jc w:val="both"/>
    </w:pPr>
    <w:rPr>
      <w:sz w:val="28"/>
    </w:rPr>
  </w:style>
  <w:style w:type="character" w:customStyle="1" w:styleId="26">
    <w:name w:val="Основной текст с отступом 2 Знак"/>
    <w:basedOn w:val="a1"/>
    <w:link w:val="25"/>
    <w:uiPriority w:val="99"/>
    <w:semiHidden/>
    <w:rPr>
      <w:rFonts w:cs="Times New Roman"/>
      <w:sz w:val="20"/>
      <w:szCs w:val="20"/>
    </w:rPr>
  </w:style>
  <w:style w:type="paragraph" w:styleId="33">
    <w:name w:val="Body Text Indent 3"/>
    <w:basedOn w:val="a0"/>
    <w:link w:val="34"/>
    <w:uiPriority w:val="99"/>
    <w:pPr>
      <w:ind w:firstLine="851"/>
      <w:jc w:val="both"/>
    </w:pPr>
    <w:rPr>
      <w:sz w:val="28"/>
    </w:rPr>
  </w:style>
  <w:style w:type="character" w:customStyle="1" w:styleId="34">
    <w:name w:val="Основной текст с отступом 3 Знак"/>
    <w:basedOn w:val="a1"/>
    <w:link w:val="33"/>
    <w:uiPriority w:val="99"/>
    <w:rPr>
      <w:rFonts w:cs="Times New Roman"/>
      <w:sz w:val="28"/>
    </w:rPr>
  </w:style>
  <w:style w:type="paragraph" w:styleId="27">
    <w:name w:val="Body Text 2"/>
    <w:basedOn w:val="a0"/>
    <w:link w:val="28"/>
    <w:uiPriority w:val="99"/>
    <w:rPr>
      <w:b/>
      <w:i/>
      <w:sz w:val="26"/>
    </w:rPr>
  </w:style>
  <w:style w:type="character" w:customStyle="1" w:styleId="28">
    <w:name w:val="Основной текст 2 Знак"/>
    <w:basedOn w:val="a1"/>
    <w:link w:val="27"/>
    <w:uiPriority w:val="99"/>
    <w:semiHidden/>
    <w:rPr>
      <w:rFonts w:cs="Times New Roman"/>
      <w:sz w:val="20"/>
      <w:szCs w:val="20"/>
    </w:rPr>
  </w:style>
  <w:style w:type="paragraph" w:customStyle="1" w:styleId="aff1">
    <w:name w:val="Текст док"/>
    <w:basedOn w:val="a0"/>
    <w:uiPriority w:val="99"/>
    <w:pPr>
      <w:ind w:left="-108" w:firstLine="709"/>
    </w:pPr>
    <w:rPr>
      <w:sz w:val="28"/>
    </w:rPr>
  </w:style>
  <w:style w:type="paragraph" w:customStyle="1" w:styleId="211">
    <w:name w:val="Основной текст 21"/>
    <w:basedOn w:val="a0"/>
    <w:uiPriority w:val="99"/>
    <w:pPr>
      <w:spacing w:line="360" w:lineRule="auto"/>
      <w:jc w:val="both"/>
    </w:pPr>
    <w:rPr>
      <w:sz w:val="28"/>
      <w:lang w:val="en-US"/>
    </w:rPr>
  </w:style>
  <w:style w:type="character" w:styleId="aff2">
    <w:name w:val="Hyperlink"/>
    <w:basedOn w:val="a1"/>
    <w:uiPriority w:val="99"/>
    <w:rPr>
      <w:rFonts w:cs="Times New Roman"/>
      <w:color w:val="0000FF"/>
      <w:u w:val="single"/>
    </w:rPr>
  </w:style>
  <w:style w:type="paragraph" w:customStyle="1" w:styleId="aff3">
    <w:name w:val="Исполнитель"/>
    <w:basedOn w:val="a0"/>
    <w:rPr>
      <w:b/>
    </w:rPr>
  </w:style>
  <w:style w:type="paragraph" w:styleId="aff4">
    <w:name w:val="List Paragraph"/>
    <w:basedOn w:val="a0"/>
    <w:uiPriority w:val="34"/>
    <w:qFormat/>
    <w:pPr>
      <w:ind w:left="720"/>
      <w:contextualSpacing/>
    </w:pPr>
  </w:style>
  <w:style w:type="character" w:styleId="aff5">
    <w:name w:val="Strong"/>
    <w:basedOn w:val="a1"/>
    <w:uiPriority w:val="99"/>
    <w:rPr>
      <w:rFonts w:cs="Times New Roman"/>
      <w:b/>
    </w:rPr>
  </w:style>
  <w:style w:type="character" w:customStyle="1" w:styleId="apple-converted-space">
    <w:name w:val="apple-converted-space"/>
    <w:basedOn w:val="a1"/>
    <w:uiPriority w:val="99"/>
    <w:rPr>
      <w:rFonts w:cs="Times New Roman"/>
    </w:rPr>
  </w:style>
  <w:style w:type="table" w:styleId="aff6">
    <w:name w:val="Table Grid"/>
    <w:basedOn w:val="a2"/>
    <w:uiPriority w:val="59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ff7">
    <w:name w:val="ФИО"/>
    <w:basedOn w:val="a0"/>
    <w:link w:val="aff8"/>
    <w:uiPriority w:val="99"/>
    <w:rPr>
      <w:b/>
      <w:sz w:val="24"/>
    </w:rPr>
  </w:style>
  <w:style w:type="character" w:customStyle="1" w:styleId="aff8">
    <w:name w:val="ФИО Знак"/>
    <w:link w:val="aff7"/>
    <w:uiPriority w:val="99"/>
    <w:rPr>
      <w:b/>
      <w:sz w:val="24"/>
    </w:rPr>
  </w:style>
  <w:style w:type="paragraph" w:styleId="aff9">
    <w:name w:val="Balloon Text"/>
    <w:basedOn w:val="a0"/>
    <w:link w:val="affa"/>
    <w:uiPriority w:val="99"/>
    <w:rPr>
      <w:rFonts w:ascii="Tahoma" w:hAnsi="Tahoma"/>
      <w:sz w:val="16"/>
      <w:szCs w:val="16"/>
    </w:rPr>
  </w:style>
  <w:style w:type="character" w:customStyle="1" w:styleId="affa">
    <w:name w:val="Текст выноски Знак"/>
    <w:basedOn w:val="a1"/>
    <w:link w:val="aff9"/>
    <w:uiPriority w:val="99"/>
    <w:rPr>
      <w:rFonts w:ascii="Tahoma" w:hAnsi="Tahoma" w:cs="Times New Roman"/>
      <w:sz w:val="16"/>
    </w:rPr>
  </w:style>
  <w:style w:type="paragraph" w:customStyle="1" w:styleId="affb">
    <w:name w:val="Знак"/>
    <w:basedOn w:val="a0"/>
    <w:uiPriority w:val="99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ConsPlusNonformat">
    <w:name w:val="ConsPlusNonformat"/>
    <w:pPr>
      <w:widowControl w:val="0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</w:pPr>
    <w:rPr>
      <w:rFonts w:ascii="Courier New" w:hAnsi="Courier New"/>
      <w:sz w:val="20"/>
      <w:szCs w:val="20"/>
    </w:rPr>
  </w:style>
  <w:style w:type="paragraph" w:customStyle="1" w:styleId="ConsPlusNormal">
    <w:name w:val="ConsPlusNormal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4"/>
      <w:szCs w:val="20"/>
      <w:lang w:val="en-US" w:eastAsia="zh-CN"/>
    </w:rPr>
  </w:style>
  <w:style w:type="paragraph" w:styleId="a">
    <w:name w:val="List Number"/>
    <w:basedOn w:val="aff4"/>
    <w:uiPriority w:val="99"/>
    <w:unhideWhenUsed/>
    <w:pPr>
      <w:numPr>
        <w:numId w:val="2"/>
      </w:numPr>
      <w:spacing w:before="160"/>
      <w:contextualSpacing w:val="0"/>
      <w:jc w:val="both"/>
    </w:pPr>
    <w:rPr>
      <w:rFonts w:ascii="Arial" w:eastAsia="Calibri" w:hAnsi="Arial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5114D7-953C-4B37-9D1F-FF598513C3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248</TotalTime>
  <Pages>2</Pages>
  <Words>449</Words>
  <Characters>2562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Томской области</Company>
  <LinksUpToDate>false</LinksUpToDate>
  <CharactersWithSpaces>3005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Фатеева Ольга Ивановна</cp:lastModifiedBy>
  <cp:revision>40</cp:revision>
  <dcterms:created xsi:type="dcterms:W3CDTF">2023-10-19T11:52:00Z</dcterms:created>
  <dcterms:modified xsi:type="dcterms:W3CDTF">2026-09-15T06:52:00Z</dcterms:modified>
</cp:coreProperties>
</file>