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D0C" w:rsidRDefault="001C2D0C" w:rsidP="009A1228">
      <w:pPr>
        <w:pStyle w:val="aff3"/>
        <w:ind w:firstLine="708"/>
        <w:jc w:val="center"/>
        <w:rPr>
          <w:rFonts w:ascii="PTAstraSerif-Regular" w:hAnsi="PTAstraSerif-Regular" w:cs="PTAstraSerif-Regular"/>
          <w:sz w:val="28"/>
          <w:szCs w:val="28"/>
        </w:rPr>
      </w:pPr>
      <w:r w:rsidRPr="00962F56">
        <w:rPr>
          <w:rFonts w:ascii="PTAstraSerif-Regular" w:hAnsi="PTAstraSerif-Regular" w:cs="PTAstraSerif-Regular"/>
          <w:sz w:val="28"/>
          <w:szCs w:val="28"/>
        </w:rPr>
        <w:t>Региональная инициатива «Первая рабочая профессия»</w:t>
      </w:r>
    </w:p>
    <w:p w:rsidR="009A1228" w:rsidRPr="00962F56" w:rsidRDefault="009A1228" w:rsidP="00A324DE">
      <w:pPr>
        <w:pStyle w:val="aff3"/>
        <w:ind w:firstLine="708"/>
        <w:jc w:val="both"/>
        <w:rPr>
          <w:rFonts w:ascii="PTAstraSerif-Regular" w:hAnsi="PTAstraSerif-Regular" w:cs="PTAstraSerif-Regular"/>
          <w:sz w:val="28"/>
          <w:szCs w:val="28"/>
        </w:rPr>
      </w:pP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Проект осуществляется при содействии Губернатора Томской области В.В. Мазура с 2024 года.</w:t>
      </w: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Целью является освоение профессиональных знаний и умений, а также повышение конкурентных преимуществ школьников на рынке труда в период их обучения в школе. После завершения обучения школьники получают свидетельство о профессии/должности служащего.</w:t>
      </w: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Целевая аудитория: учащиеся 10 классов общеобразовательных организаций.</w:t>
      </w:r>
    </w:p>
    <w:p w:rsidR="003377D2" w:rsidRPr="003377D2" w:rsidRDefault="00A324DE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>
        <w:rPr>
          <w:rFonts w:ascii="PTAstraSerif-Regular" w:hAnsi="PTAstraSerif-Regular" w:cs="PTAstraSerif-Regular"/>
          <w:b w:val="0"/>
          <w:sz w:val="28"/>
          <w:szCs w:val="28"/>
        </w:rPr>
        <w:t>Проект включе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н в качестве обязательной части в программу популяризации федерального проекта «Профессионалитет». Региональным оператором проекта выступает ОГБУ «Центр опережающей профессиональной подготовки».</w:t>
      </w: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Старт проекта состоялся в 2024 году на территории городов Томской области. Первыми в проект вошли профессиональные образовательные организации городов: Томск, Асино, Северск, Колпашево и Стрежевой.</w:t>
      </w: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В 2024 году в проекте приняли участие 500 школьников, которые освоили профессиональные компетенции по 12 профессиям: повар, слесарь-электрик, слесарь-механосборочных работ, электромонтажник электрических сетей и электрооборудования, автомеханик, пекарь, сварщик, швея, тракторист-машинист сельскохозяйственного производства, токарь, монтажник радиоэлектронной аппаратуры и прибор</w:t>
      </w:r>
      <w:bookmarkStart w:id="0" w:name="_GoBack"/>
      <w:bookmarkEnd w:id="0"/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ов.</w:t>
      </w: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В 2025 году квота на участие в проекте составила 1000 человек, география охвата населённых пунктов области расширилась, в проект вошли профессиональные образовательные организации на территории муниципальных образований Парабельского, Молчановского, Каргасокского, Верхнекетского, Кожевниковского, Первомайского и Кривошеинского районов.</w:t>
      </w:r>
    </w:p>
    <w:p w:rsidR="003377D2" w:rsidRPr="003377D2" w:rsidRDefault="003377D2" w:rsidP="00A324DE">
      <w:pPr>
        <w:pStyle w:val="aff3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Перечень профессий увеличился до 20: добавились слесарь-сантехник, штукатур, плотник, оператор цифровой печати, лаборант физико-химического анализа, агент по закупкам, специалист по эксплуатации БАС, чертежники.</w:t>
      </w:r>
    </w:p>
    <w:p w:rsidR="003377D2" w:rsidRPr="003377D2" w:rsidRDefault="00A324DE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>
        <w:rPr>
          <w:rFonts w:ascii="PTAstraSerif-Regular" w:hAnsi="PTAstraSerif-Regular" w:cs="PTAstraSerif-Regular"/>
          <w:b w:val="0"/>
          <w:sz w:val="28"/>
          <w:szCs w:val="28"/>
        </w:rPr>
        <w:t>0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1 февраля 2026 года к профессиональному обучению в рамках проекта приступили 1500 десятиклассников по 29 профессиям в 20 техникумах и 8 филиалах. В этом году удалось охватить все муниципальные образования региона, включая отдалённые районы. Перечень профессий был расширен и обновл</w:t>
      </w:r>
      <w:r>
        <w:rPr>
          <w:rFonts w:ascii="PTAstraSerif-Regular" w:hAnsi="PTAstraSerif-Regular" w:cs="PTAstraSerif-Regular"/>
          <w:b w:val="0"/>
          <w:sz w:val="28"/>
          <w:szCs w:val="28"/>
        </w:rPr>
        <w:t>е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н такими профессиями, как: оператор технологических установок, оператор видеозаписи, мерчендайзер, инструктор по спорту, оператор станка с ЧПУ по деревянным деталям и конструкциям, оператор логистических работ, художник по росписи, оператор трёхмерной печати, официант.</w:t>
      </w: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В 2027 году квота по проекту сохранится на уровне 1500 мест, при этом перечень профессий вновь расширится: появятся рабочий зелёного хозяйства, садовник, санитар ветеринарный, приёмщик сельскохозяйственных продуктов и сырья, вожатый.</w:t>
      </w:r>
    </w:p>
    <w:p w:rsidR="003377D2" w:rsidRPr="003377D2" w:rsidRDefault="003377D2" w:rsidP="00A324DE">
      <w:pPr>
        <w:pStyle w:val="aff3"/>
        <w:ind w:firstLine="720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Профессиональные образовательные организации, участвующие в реализации инициативы: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lastRenderedPageBreak/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«Асиновский техникум промышленной индустрии и сервиса», Зырянский филиал, Белоярский филиал;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политехнический техникум», Александровский филиал, Парабельский филиал;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аграрный колледж», Первомайский филиал, Подгорновский филиал;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промышленно-гуманитарный колледж», Стрежевской филиал;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«Кривошеинский агропромышленный техникум»;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«Шегарский техникум индустриальных технологий»;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«Северский промышленный колледж»;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«Молчановский техникум отраслевых технологий»;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«Каргасокский техникум промышленности и речного транспорта»;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«Кожевниковский техникум агробизнеса»;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«Колпашевский социально-промышленный колледж»;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«Колледж индустрии питания, торговли и сферы услуг»;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экономико-промышленный колледж»;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механико-технологический техникум»;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государственный педагогический колледж»;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техникум информационных технологий»;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коммунально-строительный техникум»;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индустриальный техникум»;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лесотехнический техникум»;</w:t>
      </w:r>
    </w:p>
    <w:p w:rsidR="001C2D0C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D7569D">
        <w:rPr>
          <w:rFonts w:ascii="PTAstraSerif-Regular" w:hAnsi="PTAstraSerif-Regular" w:cs="PTAstraSerif-Regular"/>
          <w:sz w:val="28"/>
          <w:szCs w:val="28"/>
        </w:rPr>
        <w:t xml:space="preserve">– 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ОГБПОУ «Томский колледж гражданского транспорта».</w:t>
      </w:r>
    </w:p>
    <w:p w:rsidR="003377D2" w:rsidRPr="003377D2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A324DE">
        <w:rPr>
          <w:rFonts w:ascii="PTAstraSerif-Regular" w:hAnsi="PTAstraSerif-Regular" w:cs="PTAstraSerif-Regular"/>
          <w:b w:val="0"/>
          <w:sz w:val="28"/>
          <w:szCs w:val="28"/>
          <w:u w:val="single"/>
        </w:rPr>
        <w:t>Партне</w:t>
      </w:r>
      <w:r w:rsidR="003377D2" w:rsidRPr="00A324DE">
        <w:rPr>
          <w:rFonts w:ascii="PTAstraSerif-Regular" w:hAnsi="PTAstraSerif-Regular" w:cs="PTAstraSerif-Regular"/>
          <w:b w:val="0"/>
          <w:sz w:val="28"/>
          <w:szCs w:val="28"/>
          <w:u w:val="single"/>
        </w:rPr>
        <w:t>рами-предприятиями выступают: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 xml:space="preserve"> АО «ТЭМЗ», ООО «ПК «Стальтом», ОАО «Манотомь», ООО НПО «Свободная Энергия», Гастро-бистро «Уголек», ООО «Империя вкуса», ГК «ЛАМА», ООО «Лента», АО «НП «Микран», ООО «Томский полиграфический комплекс», АО «СИБАГРО», ООО «Томсклесдрев», и другие.</w:t>
      </w:r>
    </w:p>
    <w:p w:rsidR="003377D2" w:rsidRPr="003377D2" w:rsidRDefault="003377D2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 w:rsidRPr="003377D2">
        <w:rPr>
          <w:rFonts w:ascii="PTAstraSerif-Regular" w:hAnsi="PTAstraSerif-Regular" w:cs="PTAstraSerif-Regular"/>
          <w:b w:val="0"/>
          <w:sz w:val="28"/>
          <w:szCs w:val="28"/>
        </w:rPr>
        <w:t>В целях популяризации проекта в осенний период проводятся «Недели профессионального старта», в рамках которых обучающиеся школ посещают учреждения среднего профессионального образования, участвующие в реализации проекта «Первая рабочая профессия», принимают участие в мастер-классах, профессиональных пробах и получают персональные консультации по интересующим вопросам.</w:t>
      </w:r>
    </w:p>
    <w:p w:rsidR="003377D2" w:rsidRPr="001C2D0C" w:rsidRDefault="00A324DE" w:rsidP="00A324DE">
      <w:pPr>
        <w:pStyle w:val="aff3"/>
        <w:ind w:firstLine="709"/>
        <w:jc w:val="both"/>
        <w:rPr>
          <w:rFonts w:ascii="PTAstraSerif-Regular" w:hAnsi="PTAstraSerif-Regular" w:cs="PTAstraSerif-Regular"/>
          <w:b w:val="0"/>
          <w:sz w:val="28"/>
          <w:szCs w:val="28"/>
        </w:rPr>
      </w:pPr>
      <w:r>
        <w:rPr>
          <w:rFonts w:ascii="PTAstraSerif-Regular" w:hAnsi="PTAstraSerif-Regular" w:cs="PTAstraSerif-Regular"/>
          <w:b w:val="0"/>
          <w:sz w:val="28"/>
          <w:szCs w:val="28"/>
        </w:rPr>
        <w:t>Отче</w:t>
      </w:r>
      <w:r w:rsidR="003377D2" w:rsidRPr="003377D2">
        <w:rPr>
          <w:rFonts w:ascii="PTAstraSerif-Regular" w:hAnsi="PTAstraSerif-Regular" w:cs="PTAstraSerif-Regular"/>
          <w:b w:val="0"/>
          <w:sz w:val="28"/>
          <w:szCs w:val="28"/>
        </w:rPr>
        <w:t>т по информационному сопровождению доступен по ссылке: https://disk.yandex.ru/i/kYKTFuOJb0kvzQ</w:t>
      </w:r>
      <w:r>
        <w:rPr>
          <w:rFonts w:ascii="PTAstraSerif-Regular" w:hAnsi="PTAstraSerif-Regular" w:cs="PTAstraSerif-Regular"/>
          <w:b w:val="0"/>
          <w:sz w:val="28"/>
          <w:szCs w:val="28"/>
        </w:rPr>
        <w:t>.</w:t>
      </w:r>
    </w:p>
    <w:p w:rsidR="009A1228" w:rsidRDefault="009A1228" w:rsidP="001C2D0C">
      <w:pPr>
        <w:ind w:firstLine="709"/>
        <w:jc w:val="both"/>
        <w:rPr>
          <w:rFonts w:ascii="PT Astra Serif" w:hAnsi="PT Astra Serif"/>
          <w:sz w:val="24"/>
          <w:szCs w:val="24"/>
        </w:rPr>
      </w:pPr>
    </w:p>
    <w:p w:rsidR="009A1228" w:rsidRDefault="009A1228" w:rsidP="001C2D0C">
      <w:pPr>
        <w:ind w:firstLine="709"/>
        <w:jc w:val="both"/>
        <w:rPr>
          <w:rFonts w:ascii="PT Astra Serif" w:hAnsi="PT Astra Serif"/>
          <w:sz w:val="24"/>
          <w:szCs w:val="24"/>
        </w:rPr>
      </w:pPr>
    </w:p>
    <w:p w:rsidR="009A1228" w:rsidRDefault="009A1228" w:rsidP="001C2D0C">
      <w:pPr>
        <w:ind w:firstLine="709"/>
        <w:jc w:val="both"/>
        <w:rPr>
          <w:rFonts w:ascii="PT Astra Serif" w:hAnsi="PT Astra Serif"/>
          <w:sz w:val="24"/>
          <w:szCs w:val="24"/>
        </w:rPr>
      </w:pPr>
    </w:p>
    <w:sectPr w:rsidR="009A1228">
      <w:headerReference w:type="even" r:id="rId8"/>
      <w:headerReference w:type="default" r:id="rId9"/>
      <w:headerReference w:type="first" r:id="rId10"/>
      <w:pgSz w:w="11907" w:h="16840"/>
      <w:pgMar w:top="1134" w:right="850" w:bottom="1134" w:left="1417" w:header="425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69CA" w:rsidRDefault="00A869CA">
      <w:r>
        <w:separator/>
      </w:r>
    </w:p>
  </w:endnote>
  <w:endnote w:type="continuationSeparator" w:id="0">
    <w:p w:rsidR="00A869CA" w:rsidRDefault="00A86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AstraSerif-Regular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69CA" w:rsidRDefault="00A869CA">
      <w:r>
        <w:separator/>
      </w:r>
    </w:p>
  </w:footnote>
  <w:footnote w:type="continuationSeparator" w:id="0">
    <w:p w:rsidR="00A869CA" w:rsidRDefault="00A86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D7569D" w:rsidRDefault="00D7569D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ind w:firstLine="0"/>
      <w:rPr>
        <w:rFonts w:ascii="PT Astra Serif" w:hAnsi="PT Astra Serif" w:cs="PT Astra Serif"/>
        <w:b w:val="0"/>
      </w:rPr>
    </w:pPr>
    <w:r>
      <w:fldChar w:fldCharType="begin"/>
    </w:r>
    <w:r>
      <w:instrText>PAGE \* MERGEFORMAT</w:instrText>
    </w:r>
    <w:r>
      <w:fldChar w:fldCharType="separate"/>
    </w:r>
    <w:r w:rsidR="009A1228" w:rsidRPr="009A1228">
      <w:rPr>
        <w:rFonts w:ascii="PT Astra Serif" w:eastAsia="PT Astra Serif" w:hAnsi="PT Astra Serif" w:cs="PT Astra Serif"/>
        <w:b w:val="0"/>
        <w:noProof/>
      </w:rPr>
      <w:t>2</w:t>
    </w:r>
    <w:r>
      <w:rPr>
        <w:rFonts w:ascii="PT Astra Serif" w:eastAsia="PT Astra Serif" w:hAnsi="PT Astra Serif" w:cs="PT Astra Serif"/>
        <w:b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69D" w:rsidRDefault="00D7569D">
    <w:pPr>
      <w:pStyle w:val="af5"/>
      <w:spacing w:before="0" w:after="0"/>
      <w:ind w:firstLine="0"/>
      <w:jc w:val="right"/>
      <w:rPr>
        <w:b w:val="0"/>
        <w:sz w:val="2"/>
        <w:szCs w:val="2"/>
      </w:rPr>
    </w:pPr>
    <w:r>
      <w:rPr>
        <w:b w:val="0"/>
        <w:sz w:val="2"/>
        <w:szCs w:val="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D658D"/>
    <w:multiLevelType w:val="hybridMultilevel"/>
    <w:tmpl w:val="35C89F38"/>
    <w:lvl w:ilvl="0" w:tplc="B380E8AC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B4A80144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CF822E9E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D500FD1A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5BD8D7AC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5E1E0A10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48EAB97C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68BC536A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990CC770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5D0E2373"/>
    <w:multiLevelType w:val="multilevel"/>
    <w:tmpl w:val="59B60FDE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0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4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1"/>
        </w:tabs>
        <w:ind w:left="1985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268"/>
        </w:tabs>
        <w:ind w:left="2552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835"/>
        </w:tabs>
        <w:ind w:left="3119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02"/>
        </w:tabs>
        <w:ind w:left="3686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969"/>
        </w:tabs>
        <w:ind w:left="4253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36"/>
        </w:tabs>
        <w:ind w:left="4820" w:hanging="284"/>
      </w:pPr>
      <w:rPr>
        <w:rFonts w:hint="default"/>
      </w:rPr>
    </w:lvl>
  </w:abstractNum>
  <w:abstractNum w:abstractNumId="2" w15:restartNumberingAfterBreak="0">
    <w:nsid w:val="622A21F9"/>
    <w:multiLevelType w:val="hybridMultilevel"/>
    <w:tmpl w:val="8E8C1D20"/>
    <w:lvl w:ilvl="0" w:tplc="7914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D3D1238"/>
    <w:multiLevelType w:val="hybridMultilevel"/>
    <w:tmpl w:val="26501F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572"/>
    <w:rsid w:val="00012761"/>
    <w:rsid w:val="00161044"/>
    <w:rsid w:val="001B5746"/>
    <w:rsid w:val="001C2D0C"/>
    <w:rsid w:val="00242166"/>
    <w:rsid w:val="00297964"/>
    <w:rsid w:val="003377D2"/>
    <w:rsid w:val="003456AA"/>
    <w:rsid w:val="003D10A6"/>
    <w:rsid w:val="003D518B"/>
    <w:rsid w:val="00695E62"/>
    <w:rsid w:val="007B38F9"/>
    <w:rsid w:val="007D5572"/>
    <w:rsid w:val="008B63CE"/>
    <w:rsid w:val="00962F56"/>
    <w:rsid w:val="009A1228"/>
    <w:rsid w:val="00A324DE"/>
    <w:rsid w:val="00A869CA"/>
    <w:rsid w:val="00AA43C3"/>
    <w:rsid w:val="00B17617"/>
    <w:rsid w:val="00B54B63"/>
    <w:rsid w:val="00B626CA"/>
    <w:rsid w:val="00BB4A23"/>
    <w:rsid w:val="00C47904"/>
    <w:rsid w:val="00D7569D"/>
    <w:rsid w:val="00E23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4B3FB"/>
  <w15:docId w15:val="{69D03242-DCC9-48FC-9A00-16D40516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sz w:val="20"/>
      <w:szCs w:val="20"/>
    </w:rPr>
  </w:style>
  <w:style w:type="paragraph" w:styleId="1">
    <w:name w:val="heading 1"/>
    <w:basedOn w:val="a0"/>
    <w:link w:val="10"/>
    <w:uiPriority w:val="9"/>
    <w:qFormat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0"/>
    <w:next w:val="a0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paragraph" w:styleId="a4">
    <w:name w:val="endnote text"/>
    <w:basedOn w:val="a0"/>
    <w:link w:val="a5"/>
    <w:uiPriority w:val="99"/>
    <w:semiHidden/>
    <w:unhideWhenUsed/>
  </w:style>
  <w:style w:type="character" w:customStyle="1" w:styleId="a5">
    <w:name w:val="Текст концевой сноски Знак"/>
    <w:link w:val="a4"/>
    <w:uiPriority w:val="99"/>
    <w:rPr>
      <w:sz w:val="20"/>
    </w:rPr>
  </w:style>
  <w:style w:type="character" w:styleId="a6">
    <w:name w:val="endnote reference"/>
    <w:basedOn w:val="a1"/>
    <w:uiPriority w:val="99"/>
    <w:semiHidden/>
    <w:unhideWhenUsed/>
    <w:rPr>
      <w:vertAlign w:val="superscript"/>
    </w:rPr>
  </w:style>
  <w:style w:type="paragraph" w:styleId="a7">
    <w:name w:val="table of figures"/>
    <w:basedOn w:val="a0"/>
    <w:next w:val="a0"/>
    <w:uiPriority w:val="99"/>
    <w:unhideWhenUsed/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Pr>
      <w:sz w:val="48"/>
      <w:szCs w:val="48"/>
    </w:rPr>
  </w:style>
  <w:style w:type="character" w:customStyle="1" w:styleId="SubtitleChar">
    <w:name w:val="Subtitle Char"/>
    <w:basedOn w:val="a1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a8">
    <w:name w:val="caption"/>
    <w:basedOn w:val="a0"/>
    <w:next w:val="a0"/>
    <w:link w:val="a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9">
    <w:name w:val="Название объекта Знак"/>
    <w:link w:val="a8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a">
    <w:name w:val="No Spacing"/>
    <w:uiPriority w:val="1"/>
    <w:qFormat/>
  </w:style>
  <w:style w:type="paragraph" w:styleId="ab">
    <w:name w:val="Title"/>
    <w:basedOn w:val="a0"/>
    <w:next w:val="a0"/>
    <w:link w:val="ac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basedOn w:val="a1"/>
    <w:link w:val="ab"/>
    <w:uiPriority w:val="10"/>
    <w:rPr>
      <w:sz w:val="48"/>
      <w:szCs w:val="48"/>
    </w:rPr>
  </w:style>
  <w:style w:type="paragraph" w:styleId="ad">
    <w:name w:val="Subtitle"/>
    <w:basedOn w:val="a0"/>
    <w:next w:val="a0"/>
    <w:link w:val="ae"/>
    <w:uiPriority w:val="11"/>
    <w:qFormat/>
    <w:pP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basedOn w:val="a1"/>
    <w:link w:val="ad"/>
    <w:uiPriority w:val="11"/>
    <w:rPr>
      <w:sz w:val="24"/>
      <w:szCs w:val="24"/>
    </w:rPr>
  </w:style>
  <w:style w:type="paragraph" w:styleId="22">
    <w:name w:val="Quote"/>
    <w:basedOn w:val="a0"/>
    <w:next w:val="a0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f">
    <w:name w:val="Intense Quote"/>
    <w:basedOn w:val="a0"/>
    <w:next w:val="a0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31">
    <w:name w:val="Таблица-сетка 31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41">
    <w:name w:val="Таблица-сетка 41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band1Vert">
      <w:tblPr/>
      <w:tcPr>
        <w:shd w:val="clear" w:color="auto" w:fill="AEC4E0" w:themeFill="accent1" w:themeFillTint="75"/>
      </w:tcPr>
    </w:tblStylePr>
    <w:tblStylePr w:type="band1Horz">
      <w:tblPr/>
      <w:tcPr>
        <w:shd w:val="clear" w:color="auto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band1Vert">
      <w:tblPr/>
      <w:tcPr>
        <w:shd w:val="clear" w:color="auto" w:fill="E2AEAD" w:themeFill="accent2" w:themeFillTint="75"/>
      </w:tcPr>
    </w:tblStylePr>
    <w:tblStylePr w:type="band1Horz">
      <w:tblPr/>
      <w:tcPr>
        <w:shd w:val="clear" w:color="auto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band1Vert">
      <w:tblPr/>
      <w:tcPr>
        <w:shd w:val="clear" w:color="auto" w:fill="D0DFB2" w:themeFill="accent3" w:themeFillTint="75"/>
      </w:tcPr>
    </w:tblStylePr>
    <w:tblStylePr w:type="band1Horz">
      <w:tblPr/>
      <w:tcPr>
        <w:shd w:val="clear" w:color="auto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band1Vert">
      <w:tblPr/>
      <w:tcPr>
        <w:shd w:val="clear" w:color="auto" w:fill="C4B7D4" w:themeFill="accent4" w:themeFillTint="75"/>
      </w:tcPr>
    </w:tblStylePr>
    <w:tblStylePr w:type="band1Horz">
      <w:tblPr/>
      <w:tcPr>
        <w:shd w:val="clear" w:color="auto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band1Vert">
      <w:tblPr/>
      <w:tcPr>
        <w:shd w:val="clear" w:color="auto" w:fill="ACD8E4" w:themeFill="accent5" w:themeFillTint="75"/>
      </w:tcPr>
    </w:tblStylePr>
    <w:tblStylePr w:type="band1Horz">
      <w:tblPr/>
      <w:tcPr>
        <w:shd w:val="clear" w:color="auto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band1Vert">
      <w:tblPr/>
      <w:tcPr>
        <w:shd w:val="clear" w:color="auto" w:fill="FBCEAA" w:themeFill="accent6" w:themeFillTint="75"/>
      </w:tcPr>
    </w:tblStylePr>
    <w:tblStylePr w:type="band1Horz">
      <w:tblPr/>
      <w:tcPr>
        <w:shd w:val="clear" w:color="auto" w:fill="FBCEAA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tblPr/>
      <w:tcPr>
        <w:shd w:val="clear" w:color="auto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tblPr/>
      <w:tcPr>
        <w:shd w:val="clear" w:color="auto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tblPr/>
      <w:tcPr>
        <w:shd w:val="clear" w:color="auto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tblPr/>
      <w:tcPr>
        <w:shd w:val="clear" w:color="auto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tblPr/>
      <w:tcPr>
        <w:shd w:val="clear" w:color="auto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tblPr/>
      <w:tcPr>
        <w:shd w:val="clear" w:color="auto" w:fill="FDE4D0" w:themeFill="accent6" w:themeFillTint="40"/>
      </w:tcPr>
    </w:tblStylePr>
  </w:style>
  <w:style w:type="table" w:customStyle="1" w:styleId="-210">
    <w:name w:val="Список-таблица 21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310">
    <w:name w:val="Список-таблица 3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1">
    <w:name w:val="footnote text"/>
    <w:basedOn w:val="a0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1"/>
    <w:uiPriority w:val="99"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character" w:customStyle="1" w:styleId="10">
    <w:name w:val="Заголовок 1 Знак"/>
    <w:basedOn w:val="a1"/>
    <w:link w:val="1"/>
    <w:uiPriority w:val="99"/>
    <w:rPr>
      <w:rFonts w:cs="Times New Roman"/>
      <w:b/>
      <w:sz w:val="48"/>
    </w:rPr>
  </w:style>
  <w:style w:type="character" w:customStyle="1" w:styleId="20">
    <w:name w:val="Заголовок 2 Знак"/>
    <w:basedOn w:val="a1"/>
    <w:link w:val="2"/>
    <w:rPr>
      <w:rFonts w:ascii="Cambria" w:hAnsi="Cambria" w:cs="Times New Roman"/>
      <w:b/>
      <w:i/>
      <w:sz w:val="28"/>
    </w:rPr>
  </w:style>
  <w:style w:type="paragraph" w:styleId="af5">
    <w:name w:val="header"/>
    <w:basedOn w:val="a0"/>
    <w:link w:val="af6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character" w:customStyle="1" w:styleId="af6">
    <w:name w:val="Верхний колонтитул Знак"/>
    <w:basedOn w:val="a1"/>
    <w:link w:val="af5"/>
    <w:uiPriority w:val="99"/>
    <w:rPr>
      <w:rFonts w:cs="Times New Roman"/>
      <w:b/>
      <w:caps/>
      <w:sz w:val="28"/>
    </w:rPr>
  </w:style>
  <w:style w:type="paragraph" w:styleId="af7">
    <w:name w:val="footer"/>
    <w:basedOn w:val="a0"/>
    <w:link w:val="af8"/>
    <w:uiPriority w:val="99"/>
    <w:pPr>
      <w:tabs>
        <w:tab w:val="center" w:pos="4153"/>
        <w:tab w:val="right" w:pos="8306"/>
      </w:tabs>
      <w:ind w:firstLine="709"/>
    </w:pPr>
    <w:rPr>
      <w:sz w:val="26"/>
    </w:rPr>
  </w:style>
  <w:style w:type="character" w:customStyle="1" w:styleId="af8">
    <w:name w:val="Нижний колонтитул Знак"/>
    <w:basedOn w:val="a1"/>
    <w:link w:val="af7"/>
    <w:uiPriority w:val="99"/>
    <w:rPr>
      <w:rFonts w:cs="Times New Roman"/>
      <w:sz w:val="26"/>
    </w:rPr>
  </w:style>
  <w:style w:type="character" w:styleId="af9">
    <w:name w:val="page number"/>
    <w:basedOn w:val="a1"/>
    <w:uiPriority w:val="99"/>
    <w:rPr>
      <w:rFonts w:cs="Times New Roman"/>
    </w:rPr>
  </w:style>
  <w:style w:type="paragraph" w:styleId="afa">
    <w:name w:val="Body Text Indent"/>
    <w:basedOn w:val="a0"/>
    <w:link w:val="afb"/>
    <w:uiPriority w:val="99"/>
    <w:pPr>
      <w:ind w:firstLine="709"/>
      <w:jc w:val="both"/>
    </w:pPr>
    <w:rPr>
      <w:sz w:val="26"/>
    </w:rPr>
  </w:style>
  <w:style w:type="character" w:customStyle="1" w:styleId="afb">
    <w:name w:val="Основной текст с отступом Знак"/>
    <w:basedOn w:val="a1"/>
    <w:link w:val="afa"/>
    <w:uiPriority w:val="99"/>
    <w:semiHidden/>
    <w:rPr>
      <w:rFonts w:cs="Times New Roman"/>
      <w:sz w:val="20"/>
      <w:szCs w:val="20"/>
    </w:rPr>
  </w:style>
  <w:style w:type="paragraph" w:customStyle="1" w:styleId="afc">
    <w:name w:val="Обращение"/>
    <w:basedOn w:val="a0"/>
    <w:next w:val="a0"/>
    <w:uiPriority w:val="99"/>
    <w:pPr>
      <w:spacing w:before="240" w:after="120"/>
      <w:jc w:val="center"/>
    </w:pPr>
    <w:rPr>
      <w:b/>
      <w:sz w:val="26"/>
    </w:rPr>
  </w:style>
  <w:style w:type="paragraph" w:customStyle="1" w:styleId="afd">
    <w:name w:val="Адресные реквизиты"/>
    <w:basedOn w:val="afe"/>
    <w:next w:val="afe"/>
    <w:uiPriority w:val="99"/>
    <w:pPr>
      <w:spacing w:after="0"/>
    </w:pPr>
    <w:rPr>
      <w:sz w:val="16"/>
    </w:rPr>
  </w:style>
  <w:style w:type="paragraph" w:customStyle="1" w:styleId="aff">
    <w:name w:val="Адресат"/>
    <w:basedOn w:val="a0"/>
    <w:pPr>
      <w:spacing w:before="120"/>
    </w:pPr>
    <w:rPr>
      <w:b/>
      <w:sz w:val="26"/>
    </w:rPr>
  </w:style>
  <w:style w:type="paragraph" w:customStyle="1" w:styleId="H4">
    <w:name w:val="H4"/>
    <w:basedOn w:val="a0"/>
    <w:next w:val="a0"/>
    <w:uiPriority w:val="99"/>
    <w:pPr>
      <w:keepNext/>
      <w:spacing w:before="100" w:after="100"/>
      <w:outlineLvl w:val="4"/>
    </w:pPr>
    <w:rPr>
      <w:b/>
      <w:sz w:val="24"/>
    </w:rPr>
  </w:style>
  <w:style w:type="paragraph" w:styleId="afe">
    <w:name w:val="Body Text"/>
    <w:basedOn w:val="a0"/>
    <w:link w:val="aff0"/>
    <w:uiPriority w:val="99"/>
    <w:pPr>
      <w:spacing w:after="120"/>
    </w:pPr>
  </w:style>
  <w:style w:type="character" w:customStyle="1" w:styleId="aff0">
    <w:name w:val="Основной текст Знак"/>
    <w:basedOn w:val="a1"/>
    <w:link w:val="afe"/>
    <w:uiPriority w:val="99"/>
    <w:rPr>
      <w:rFonts w:cs="Times New Roman"/>
    </w:rPr>
  </w:style>
  <w:style w:type="paragraph" w:styleId="25">
    <w:name w:val="Body Text Indent 2"/>
    <w:basedOn w:val="a0"/>
    <w:link w:val="26"/>
    <w:uiPriority w:val="99"/>
    <w:pPr>
      <w:ind w:firstLine="720"/>
      <w:jc w:val="both"/>
    </w:pPr>
    <w:rPr>
      <w:sz w:val="28"/>
    </w:rPr>
  </w:style>
  <w:style w:type="character" w:customStyle="1" w:styleId="26">
    <w:name w:val="Основной текст с отступом 2 Знак"/>
    <w:basedOn w:val="a1"/>
    <w:link w:val="25"/>
    <w:uiPriority w:val="99"/>
    <w:semiHidden/>
    <w:rPr>
      <w:rFonts w:cs="Times New Roman"/>
      <w:sz w:val="20"/>
      <w:szCs w:val="20"/>
    </w:rPr>
  </w:style>
  <w:style w:type="paragraph" w:styleId="33">
    <w:name w:val="Body Text Indent 3"/>
    <w:basedOn w:val="a0"/>
    <w:link w:val="34"/>
    <w:uiPriority w:val="99"/>
    <w:pPr>
      <w:ind w:firstLine="851"/>
      <w:jc w:val="both"/>
    </w:pPr>
    <w:rPr>
      <w:sz w:val="28"/>
    </w:rPr>
  </w:style>
  <w:style w:type="character" w:customStyle="1" w:styleId="34">
    <w:name w:val="Основной текст с отступом 3 Знак"/>
    <w:basedOn w:val="a1"/>
    <w:link w:val="33"/>
    <w:uiPriority w:val="99"/>
    <w:rPr>
      <w:rFonts w:cs="Times New Roman"/>
      <w:sz w:val="28"/>
    </w:rPr>
  </w:style>
  <w:style w:type="paragraph" w:styleId="27">
    <w:name w:val="Body Text 2"/>
    <w:basedOn w:val="a0"/>
    <w:link w:val="28"/>
    <w:uiPriority w:val="99"/>
    <w:rPr>
      <w:b/>
      <w:i/>
      <w:sz w:val="26"/>
    </w:rPr>
  </w:style>
  <w:style w:type="character" w:customStyle="1" w:styleId="28">
    <w:name w:val="Основной текст 2 Знак"/>
    <w:basedOn w:val="a1"/>
    <w:link w:val="27"/>
    <w:uiPriority w:val="99"/>
    <w:semiHidden/>
    <w:rPr>
      <w:rFonts w:cs="Times New Roman"/>
      <w:sz w:val="20"/>
      <w:szCs w:val="20"/>
    </w:rPr>
  </w:style>
  <w:style w:type="paragraph" w:customStyle="1" w:styleId="aff1">
    <w:name w:val="Текст док"/>
    <w:basedOn w:val="a0"/>
    <w:uiPriority w:val="99"/>
    <w:pPr>
      <w:ind w:left="-108" w:firstLine="709"/>
    </w:pPr>
    <w:rPr>
      <w:sz w:val="28"/>
    </w:rPr>
  </w:style>
  <w:style w:type="paragraph" w:customStyle="1" w:styleId="211">
    <w:name w:val="Основной текст 21"/>
    <w:basedOn w:val="a0"/>
    <w:uiPriority w:val="99"/>
    <w:pPr>
      <w:spacing w:line="360" w:lineRule="auto"/>
      <w:jc w:val="both"/>
    </w:pPr>
    <w:rPr>
      <w:sz w:val="28"/>
      <w:lang w:val="en-US"/>
    </w:rPr>
  </w:style>
  <w:style w:type="character" w:styleId="aff2">
    <w:name w:val="Hyperlink"/>
    <w:basedOn w:val="a1"/>
    <w:uiPriority w:val="99"/>
    <w:rPr>
      <w:rFonts w:cs="Times New Roman"/>
      <w:color w:val="0000FF"/>
      <w:u w:val="single"/>
    </w:rPr>
  </w:style>
  <w:style w:type="paragraph" w:customStyle="1" w:styleId="aff3">
    <w:name w:val="Исполнитель"/>
    <w:basedOn w:val="a0"/>
    <w:rPr>
      <w:b/>
    </w:rPr>
  </w:style>
  <w:style w:type="paragraph" w:styleId="aff4">
    <w:name w:val="List Paragraph"/>
    <w:basedOn w:val="a0"/>
    <w:uiPriority w:val="34"/>
    <w:qFormat/>
    <w:pPr>
      <w:ind w:left="720"/>
      <w:contextualSpacing/>
    </w:pPr>
  </w:style>
  <w:style w:type="character" w:styleId="aff5">
    <w:name w:val="Strong"/>
    <w:basedOn w:val="a1"/>
    <w:uiPriority w:val="99"/>
    <w:rPr>
      <w:rFonts w:cs="Times New Roman"/>
      <w:b/>
    </w:rPr>
  </w:style>
  <w:style w:type="character" w:customStyle="1" w:styleId="apple-converted-space">
    <w:name w:val="apple-converted-space"/>
    <w:basedOn w:val="a1"/>
    <w:uiPriority w:val="99"/>
    <w:rPr>
      <w:rFonts w:cs="Times New Roman"/>
    </w:rPr>
  </w:style>
  <w:style w:type="table" w:styleId="aff6">
    <w:name w:val="Table Grid"/>
    <w:basedOn w:val="a2"/>
    <w:uiPriority w:val="59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7">
    <w:name w:val="ФИО"/>
    <w:basedOn w:val="a0"/>
    <w:link w:val="aff8"/>
    <w:uiPriority w:val="99"/>
    <w:rPr>
      <w:b/>
      <w:sz w:val="24"/>
    </w:rPr>
  </w:style>
  <w:style w:type="character" w:customStyle="1" w:styleId="aff8">
    <w:name w:val="ФИО Знак"/>
    <w:link w:val="aff7"/>
    <w:uiPriority w:val="99"/>
    <w:rPr>
      <w:b/>
      <w:sz w:val="24"/>
    </w:rPr>
  </w:style>
  <w:style w:type="paragraph" w:styleId="aff9">
    <w:name w:val="Balloon Text"/>
    <w:basedOn w:val="a0"/>
    <w:link w:val="affa"/>
    <w:uiPriority w:val="99"/>
    <w:rPr>
      <w:rFonts w:ascii="Tahoma" w:hAnsi="Tahoma"/>
      <w:sz w:val="16"/>
      <w:szCs w:val="16"/>
    </w:rPr>
  </w:style>
  <w:style w:type="character" w:customStyle="1" w:styleId="affa">
    <w:name w:val="Текст выноски Знак"/>
    <w:basedOn w:val="a1"/>
    <w:link w:val="aff9"/>
    <w:uiPriority w:val="99"/>
    <w:rPr>
      <w:rFonts w:ascii="Tahoma" w:hAnsi="Tahoma" w:cs="Times New Roman"/>
      <w:sz w:val="16"/>
    </w:rPr>
  </w:style>
  <w:style w:type="paragraph" w:customStyle="1" w:styleId="affb">
    <w:name w:val="Знак"/>
    <w:basedOn w:val="a0"/>
    <w:uiPriority w:val="99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</w:pPr>
    <w:rPr>
      <w:rFonts w:ascii="Courier New" w:hAnsi="Courier New"/>
      <w:sz w:val="20"/>
      <w:szCs w:val="20"/>
    </w:rPr>
  </w:style>
  <w:style w:type="paragraph" w:customStyle="1" w:styleId="ConsPlusNormal">
    <w:name w:val="ConsPlus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4"/>
      <w:szCs w:val="20"/>
      <w:lang w:val="en-US" w:eastAsia="zh-CN"/>
    </w:rPr>
  </w:style>
  <w:style w:type="paragraph" w:styleId="a">
    <w:name w:val="List Number"/>
    <w:basedOn w:val="aff4"/>
    <w:uiPriority w:val="99"/>
    <w:unhideWhenUsed/>
    <w:pPr>
      <w:numPr>
        <w:numId w:val="2"/>
      </w:numPr>
      <w:spacing w:before="160"/>
      <w:contextualSpacing w:val="0"/>
      <w:jc w:val="both"/>
    </w:pPr>
    <w:rPr>
      <w:rFonts w:ascii="Arial" w:eastAsia="Calibri" w:hAnsi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EA17F-989E-47A3-AA67-CCEE3393C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Томской области</Company>
  <LinksUpToDate>false</LinksUpToDate>
  <CharactersWithSpaces>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Фатеева Ольга Ивановна</cp:lastModifiedBy>
  <cp:revision>40</cp:revision>
  <dcterms:created xsi:type="dcterms:W3CDTF">2023-10-19T11:52:00Z</dcterms:created>
  <dcterms:modified xsi:type="dcterms:W3CDTF">2026-09-15T06:49:00Z</dcterms:modified>
</cp:coreProperties>
</file>